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30, 2026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LABCORP HOLDINGS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6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1-11353</w:t>
            </w:r>
          </w:p>
        </w:tc>
        <w:tc>
          <w:tcPr>
            <w:tcW w:w="80" w:type="dxa"/>
            <w:vAlign w:val="bottom"/>
          </w:tcPr>
          <w:p>
            <w:pPr>
              <w:spacing w:after="0"/>
              <w:rPr>
                <w:sz w:val="21"/>
                <w:szCs w:val="21"/>
                <w:color w:val="auto"/>
              </w:rPr>
            </w:pPr>
          </w:p>
        </w:tc>
        <w:tc>
          <w:tcPr>
            <w:tcW w:w="4260" w:type="dxa"/>
            <w:vAlign w:val="bottom"/>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99-2588107</w:t>
            </w:r>
          </w:p>
        </w:tc>
      </w:tr>
      <w:tr>
        <w:trPr>
          <w:trHeight w:val="234"/>
        </w:trPr>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100" w:type="dxa"/>
            <w:vAlign w:val="bottom"/>
          </w:tcPr>
          <w:p>
            <w:pPr>
              <w:spacing w:after="0"/>
              <w:rPr>
                <w:sz w:val="20"/>
                <w:szCs w:val="20"/>
                <w:color w:val="auto"/>
              </w:rPr>
            </w:pPr>
          </w:p>
        </w:tc>
        <w:tc>
          <w:tcPr>
            <w:tcW w:w="25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8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580"/>
        </w:trPr>
        <w:tc>
          <w:tcPr>
            <w:tcW w:w="434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358 South Main Street</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45"/>
        </w:trPr>
        <w:tc>
          <w:tcPr>
            <w:tcW w:w="4340" w:type="dxa"/>
            <w:vAlign w:val="bottom"/>
            <w:tcBorders>
              <w:bottom w:val="single" w:sz="8" w:color="auto"/>
            </w:tcBorders>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Burlington , North Carolina</w:t>
            </w: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27215</w:t>
            </w:r>
          </w:p>
        </w:tc>
      </w:tr>
      <w:tr>
        <w:trPr>
          <w:trHeight w:val="234"/>
        </w:trPr>
        <w:tc>
          <w:tcPr>
            <w:tcW w:w="434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6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336-229-1127</w:t>
      </w:r>
    </w:p>
    <w:p>
      <w:pPr>
        <w:spacing w:after="0" w:line="12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42"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4"/>
        </w:trPr>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$0.10 par value</w:t>
            </w:r>
          </w:p>
        </w:tc>
        <w:tc>
          <w:tcPr>
            <w:tcW w:w="80" w:type="dxa"/>
            <w:vAlign w:val="bottom"/>
          </w:tcPr>
          <w:p>
            <w:pPr>
              <w:spacing w:after="0"/>
              <w:rPr>
                <w:sz w:val="20"/>
                <w:szCs w:val="20"/>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LH</w:t>
            </w:r>
          </w:p>
        </w:tc>
        <w:tc>
          <w:tcPr>
            <w:tcW w:w="10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25"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ind w:left="2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9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Labcorp Holdings Inc. (NYSE: LH), a global leader of innovative and comprehensive laboratory services, announced on June 30, 2026 that it will release its financial results for the second quarter of 2026 before the market opens on Thursday, July 30, 2026, and will host a conference call and webcast beginning at 9:00 a.m. ET that day to discuss the results. The earnings press release and accompanying financial information will be posted on the Labcorp Investor Relations website.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dated June 30, 2026 is furnished as Exhibit 99.1 hereto and incorporated by reference herein.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194"/>
        </w:trPr>
        <w:tc>
          <w:tcPr>
            <w:tcW w:w="40" w:type="dxa"/>
            <w:vAlign w:val="bottom"/>
          </w:tcPr>
          <w:p>
            <w:pPr>
              <w:spacing w:after="0"/>
              <w:rPr>
                <w:sz w:val="16"/>
                <w:szCs w:val="16"/>
                <w:color w:val="auto"/>
              </w:rPr>
            </w:pPr>
          </w:p>
        </w:tc>
        <w:tc>
          <w:tcPr>
            <w:tcW w:w="15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Exhibit</w:t>
            </w:r>
          </w:p>
        </w:tc>
        <w:tc>
          <w:tcPr>
            <w:tcW w:w="96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Exhibit Name</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June 30, 2026 issued by Labcorp Holdings Inc.</w:t>
            </w:r>
          </w:p>
        </w:tc>
      </w:tr>
      <w:tr>
        <w:trPr>
          <w:trHeight w:val="20"/>
        </w:trPr>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780" w:type="dxa"/>
            <w:vAlign w:val="bottom"/>
            <w:gridSpan w:val="2"/>
            <w:shd w:val="clear" w:color="auto" w:fill="0000FF"/>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p>
        </w:tc>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08"/>
        </w:trPr>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LABCORP HOLDINGS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5400" w:val="left"/>
          <w:tab w:leader="none" w:pos="5860" w:val="left"/>
        </w:tabs>
        <w:rPr>
          <w:sz w:val="20"/>
          <w:szCs w:val="20"/>
          <w:color w:val="auto"/>
        </w:rPr>
      </w:pPr>
      <w:r>
        <w:rPr>
          <w:rFonts w:ascii="Times New Roman" w:cs="Times New Roman" w:eastAsia="Times New Roman" w:hAnsi="Times New Roman"/>
          <w:sz w:val="18"/>
          <w:szCs w:val="18"/>
          <w:color w:val="auto"/>
        </w:rPr>
        <w:t>Date: June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KATHRYN W. KYLE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Kathryn W. Kyle</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Executive Vice President, Chief Legal Officer and Corporate Secretary</w:t>
      </w:r>
    </w:p>
    <w:p>
      <w:pPr>
        <w:sectPr>
          <w:pgSz w:w="11900" w:h="16838" w:orient="portrait"/>
          <w:cols w:equalWidth="0" w:num="1">
            <w:col w:w="11240"/>
          </w:cols>
          <w:pgMar w:left="320" w:top="88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414020</wp:posOffset>
            </wp:positionH>
            <wp:positionV relativeFrom="page">
              <wp:posOffset>243205</wp:posOffset>
            </wp:positionV>
            <wp:extent cx="2219960" cy="582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219960" cy="58293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IMMEDIATE RELEASE</w:t>
      </w:r>
    </w:p>
    <w:p>
      <w:pPr>
        <w:sectPr>
          <w:pgSz w:w="11900" w:h="16838" w:orient="portrait"/>
          <w:cols w:equalWidth="0" w:num="1">
            <w:col w:w="11240"/>
          </w:cols>
          <w:pgMar w:left="320" w:top="1440" w:right="339" w:bottom="1440" w:gutter="0" w:footer="0" w:header="0"/>
        </w:sect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w:t>
      </w:r>
    </w:p>
    <w:p>
      <w:pPr>
        <w:spacing w:after="0" w:line="65" w:lineRule="exact"/>
        <w:rPr>
          <w:sz w:val="20"/>
          <w:szCs w:val="20"/>
          <w:color w:val="auto"/>
        </w:rPr>
      </w:pPr>
    </w:p>
    <w:p>
      <w:pPr>
        <w:sectPr>
          <w:pgSz w:w="11900" w:h="16838" w:orient="portrait"/>
          <w:cols w:equalWidth="0" w:num="2">
            <w:col w:w="1720" w:space="720"/>
            <w:col w:w="880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Racquel White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Dewey Steadman</w:t>
      </w:r>
    </w:p>
    <w:p>
      <w:pPr>
        <w:spacing w:after="0" w:line="61" w:lineRule="exact"/>
        <w:rPr>
          <w:sz w:val="20"/>
          <w:szCs w:val="20"/>
          <w:color w:val="auto"/>
        </w:rPr>
      </w:pPr>
    </w:p>
    <w:p>
      <w:pPr>
        <w:sectPr>
          <w:pgSz w:w="11900" w:h="16838" w:orient="portrait"/>
          <w:cols w:equalWidth="0" w:num="2">
            <w:col w:w="1720" w:space="720"/>
            <w:col w:w="880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0E32E1"/>
        </w:rPr>
        <w:t>Media@Labcorp.com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0E32E1"/>
        </w:rPr>
        <w:t>Investor@Labcorp.com</w:t>
      </w:r>
    </w:p>
    <w:p>
      <w:pPr>
        <w:spacing w:after="0" w:line="200" w:lineRule="exact"/>
        <w:rPr>
          <w:sz w:val="20"/>
          <w:szCs w:val="20"/>
          <w:color w:val="auto"/>
        </w:rPr>
      </w:pPr>
    </w:p>
    <w:p>
      <w:pPr>
        <w:sectPr>
          <w:pgSz w:w="11900" w:h="16838" w:orient="portrait"/>
          <w:cols w:equalWidth="0" w:num="2">
            <w:col w:w="1720" w:space="720"/>
            <w:col w:w="8800"/>
          </w:cols>
          <w:pgMar w:left="320" w:top="1440" w:right="339" w:bottom="1440" w:gutter="0" w:footer="0" w:header="0"/>
          <w:type w:val="continuous"/>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Labcorp to Announce Second Quarter Financial Results on July 30, 2026</w:t>
      </w: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BURLINGTON, N.C., (June 30, 2026) – </w:t>
      </w:r>
      <w:r>
        <w:rPr>
          <w:rFonts w:ascii="Times New Roman" w:cs="Times New Roman" w:eastAsia="Times New Roman" w:hAnsi="Times New Roman"/>
          <w:sz w:val="18"/>
          <w:szCs w:val="18"/>
          <w:color w:val="auto"/>
        </w:rPr>
        <w:t>Labcorp Holdings Inc. (NYSE: LH), a global leader of innovative and comprehensive laboratory services,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release its financial results for the second quarter of 2026 before the market opens on Thursday, July 30, 2026. The company will host a webcast beginning at 9:00 a.m. ET that day to discuss the results. The earnings press release and accompanying financial information will be posted on the “News &amp; Events” section of the Labcorp Investor Relations website at https://ir.labcorp.com. A link to the earnings webcast will also be available on the investor relations website.</w:t>
      </w:r>
    </w:p>
    <w:p>
      <w:pPr>
        <w:spacing w:after="0" w:line="21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replay of the webcast will be available on the “News &amp; Events” section of the investor relations website approximately two hours after the conclusion of the live event and will be available for one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Labcorp</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Labcorp (NYSE: LH) is a global leader of innovative and comprehensive laboratory services that helps doctors, hospitals, pharmaceutical companies, researchers, and patients make clear and confident decisions. We provide insights and advance science to improve health and improve lives through our unparalleled diagnostics and drug development laboratory capabilities. The company's nearly 71,000 employees serve clients in approximately 100 countries, provided support for more than 85% of the new drugs and therapeutic products approved by the FDA in 2025, and performed more than 750 million tests for patients around the world. Learn more at https://www.labcorp.com/.</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2026-06-30T15:30:41Z</dcterms:created>
  <dcterms:modified xsi:type="dcterms:W3CDTF">2026-06-30T15:30:41Z</dcterms:modified>
</cp:coreProperties>
</file>