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0002103996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LABCORP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001-11353</w:t>
      </w:r>
    </w:p>
    <w:p>
      <w:pPr>
        <w:spacing w:after="0" w:line="44"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21"/>
          <w:szCs w:val="21"/>
          <w:color w:val="auto"/>
        </w:rPr>
        <w:t>358 S MAIN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27215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3362291127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Kyle Kathryn W</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762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201084.18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02/07/2026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02/07/2026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02/06/2026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02/06/2026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02/11/2026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03/26/2026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567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03/26/2026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03/09/2026</w:t>
      </w:r>
    </w:p>
    <w:p>
      <w:pPr>
        <w:spacing w:after="0" w:line="623" w:lineRule="exact"/>
        <w:rPr>
          <w:sz w:val="20"/>
          <w:szCs w:val="20"/>
          <w:color w:val="auto"/>
        </w:rPr>
      </w:pPr>
    </w:p>
    <w:p>
      <w:pPr>
        <w:sectPr>
          <w:pgSz w:w="11900" w:h="16838" w:orient="portrait"/>
          <w:cols w:equalWidth="0" w:num="2">
            <w:col w:w="3380" w:space="580"/>
            <w:col w:w="72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784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Brokerage Services LLC, as attorney-in-fact for Kathryn W. Kyle</w:t>
            </w: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2026-06-08T11:20:52Z</dcterms:created>
  <dcterms:modified xsi:type="dcterms:W3CDTF">2026-06-08T11:20:52Z</dcterms:modified>
</cp:coreProperties>
</file>