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Vaughn Bryan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 SOUTH SPRING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LABCORP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President, Diagnostics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share of Labcorp Holdings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equal annual installments beginning on September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number reflects the aggregate number of Restricted Stock Units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W. Kyle, Attorney-in-Fact for Bryan T. Vaughn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3999" TargetMode="External"/><Relationship Id="rId5" Type="http://schemas.openxmlformats.org/officeDocument/2006/relationships/hyperlink" Target="http://www.sec.gov/cgi-bin/browse-edgar?action=getcompany&amp;CIK=0000920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3398</Characters>
  <CharactersWithSpaces>3951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