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Vaughn Bryan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 SOUTH SPRING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LABCORP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President, Diagnostics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7,072.5702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283.88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6,979.5702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286.19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6,745.5702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share of Labcorp Holdings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withholding to satisfy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Pursuant to a plan in accordance with Rule 10b5-1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that have vested were part of a grant that vests in three equal annual installments beginning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number reflects the aggregate number of Restricted Stock Units held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W. Kyle, Attorney-in-Fact for Bryan T. Vaughn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03999" TargetMode="External"/><Relationship Id="rId5" Type="http://schemas.openxmlformats.org/officeDocument/2006/relationships/hyperlink" Target="http://www.sec.gov/cgi-bin/browse-edgar?action=getcompany&amp;CIK=0000920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686</Words>
  <Characters>3679</Characters>
  <CharactersWithSpaces>4280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