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April 30,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LABCORP HOLDINGS INC.</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7"/>
          </w:tcPr>
          <w:p>
            <w:pPr>
              <w:jc w:val="center"/>
              <w:ind w:left="347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560" w:type="dxa"/>
            <w:vAlign w:val="bottom"/>
          </w:tcPr>
          <w:p>
            <w:pPr>
              <w:spacing w:after="0"/>
              <w:rPr>
                <w:sz w:val="20"/>
                <w:szCs w:val="20"/>
                <w:color w:val="auto"/>
              </w:rPr>
            </w:pPr>
          </w:p>
        </w:tc>
      </w:tr>
      <w:tr>
        <w:trPr>
          <w:trHeight w:val="344"/>
        </w:trPr>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1-11353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99-2588107</w:t>
            </w:r>
          </w:p>
        </w:tc>
      </w:tr>
      <w:tr>
        <w:trPr>
          <w:trHeight w:val="234"/>
        </w:trPr>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20"/>
                <w:szCs w:val="20"/>
                <w:color w:val="auto"/>
              </w:rPr>
            </w:pPr>
          </w:p>
        </w:tc>
        <w:tc>
          <w:tcPr>
            <w:tcW w:w="2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80"/>
        </w:trPr>
        <w:tc>
          <w:tcPr>
            <w:tcW w:w="434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45"/>
        </w:trPr>
        <w:tc>
          <w:tcPr>
            <w:tcW w:w="434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Burlington , North Carolina</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27215</w:t>
            </w:r>
          </w:p>
        </w:tc>
      </w:tr>
      <w:tr>
        <w:trPr>
          <w:trHeight w:val="234"/>
        </w:trPr>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6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336-229-1127</w:t>
      </w:r>
    </w:p>
    <w:p>
      <w:pPr>
        <w:spacing w:after="0" w:line="12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$0.10 par value</w:t>
            </w:r>
          </w:p>
        </w:tc>
        <w:tc>
          <w:tcPr>
            <w:tcW w:w="100" w:type="dxa"/>
            <w:vAlign w:val="bottom"/>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LH</w:t>
            </w:r>
          </w:p>
        </w:tc>
        <w:tc>
          <w:tcPr>
            <w:tcW w:w="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21"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Item 2.02.</w:t>
            </w:r>
          </w:p>
        </w:tc>
        <w:tc>
          <w:tcPr>
            <w:tcW w:w="998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tc>
      </w:tr>
      <w:tr>
        <w:trPr>
          <w:trHeight w:val="346"/>
        </w:trPr>
        <w:tc>
          <w:tcPr>
            <w:tcW w:w="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4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194"/>
        </w:trPr>
        <w:tc>
          <w:tcPr>
            <w:tcW w:w="40" w:type="dxa"/>
            <w:vAlign w:val="bottom"/>
          </w:tcPr>
          <w:p>
            <w:pPr>
              <w:spacing w:after="0"/>
              <w:rPr>
                <w:sz w:val="16"/>
                <w:szCs w:val="16"/>
                <w:color w:val="auto"/>
              </w:rPr>
            </w:pPr>
          </w:p>
        </w:tc>
        <w:tc>
          <w:tcPr>
            <w:tcW w:w="1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Exhibit</w:t>
            </w:r>
          </w:p>
        </w:tc>
        <w:tc>
          <w:tcPr>
            <w:tcW w:w="340" w:type="dxa"/>
            <w:vAlign w:val="bottom"/>
          </w:tcPr>
          <w:p>
            <w:pPr>
              <w:spacing w:after="0"/>
              <w:rPr>
                <w:sz w:val="16"/>
                <w:szCs w:val="16"/>
                <w:color w:val="auto"/>
              </w:rPr>
            </w:pPr>
          </w:p>
        </w:tc>
        <w:tc>
          <w:tcPr>
            <w:tcW w:w="96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Exhibit Name</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340" w:type="dxa"/>
            <w:vAlign w:val="bottom"/>
          </w:tcPr>
          <w:p>
            <w:pPr>
              <w:spacing w:after="0"/>
              <w:rPr>
                <w:sz w:val="18"/>
                <w:szCs w:val="18"/>
                <w:color w:val="auto"/>
              </w:rPr>
            </w:pPr>
          </w:p>
        </w:tc>
        <w:tc>
          <w:tcPr>
            <w:tcW w:w="7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April 30, 2026 issued by Labcorp titled “Labcorp Announces 2026 First Quarter Results”</w:t>
            </w:r>
          </w:p>
        </w:tc>
        <w:tc>
          <w:tcPr>
            <w:tcW w:w="174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340" w:type="dxa"/>
            <w:vAlign w:val="bottom"/>
          </w:tcPr>
          <w:p>
            <w:pPr>
              <w:spacing w:after="0"/>
              <w:rPr>
                <w:sz w:val="21"/>
                <w:szCs w:val="21"/>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020" w:val="left"/>
          <w:tab w:leader="none" w:pos="574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KATHRYN W. KYLE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721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2180" cy="1714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Kathryn W. Kyle</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 Secretary</w:t>
      </w:r>
    </w:p>
    <w:p>
      <w:pPr>
        <w:sectPr>
          <w:pgSz w:w="11900" w:h="16838" w:orient="portrait"/>
          <w:cols w:equalWidth="0" w:num="1">
            <w:col w:w="11200"/>
          </w:cols>
          <w:pgMar w:left="320" w:top="88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674620" cy="728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67462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 IMMEDIATE RELEASE</w:t>
      </w:r>
    </w:p>
    <w:p>
      <w:pPr>
        <w:spacing w:after="0" w:line="166" w:lineRule="exact"/>
        <w:rPr>
          <w:sz w:val="20"/>
          <w:szCs w:val="20"/>
          <w:color w:val="auto"/>
        </w:rPr>
      </w:pPr>
    </w:p>
    <w:p>
      <w:pPr>
        <w:ind w:left="20"/>
        <w:spacing w:after="0"/>
        <w:tabs>
          <w:tab w:leader="none" w:pos="2240" w:val="left"/>
          <w:tab w:leader="none" w:pos="620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b w:val="1"/>
          <w:bCs w:val="1"/>
          <w:color w:val="auto"/>
        </w:rPr>
        <w:t>Dewey Steadman - Investors</w:t>
      </w:r>
      <w:r>
        <w:rPr>
          <w:sz w:val="20"/>
          <w:szCs w:val="20"/>
          <w:color w:val="auto"/>
        </w:rPr>
        <w:tab/>
      </w:r>
      <w:r>
        <w:rPr>
          <w:rFonts w:ascii="Arial" w:cs="Arial" w:eastAsia="Arial" w:hAnsi="Arial"/>
          <w:sz w:val="18"/>
          <w:szCs w:val="18"/>
          <w:b w:val="1"/>
          <w:bCs w:val="1"/>
          <w:color w:val="auto"/>
        </w:rPr>
        <w:t>Racquel White - Media</w:t>
      </w:r>
    </w:p>
    <w:p>
      <w:pPr>
        <w:spacing w:after="0" w:line="50" w:lineRule="exact"/>
        <w:rPr>
          <w:sz w:val="20"/>
          <w:szCs w:val="20"/>
          <w:color w:val="auto"/>
        </w:rPr>
      </w:pPr>
    </w:p>
    <w:p>
      <w:pPr>
        <w:ind w:left="2260"/>
        <w:spacing w:after="0"/>
        <w:tabs>
          <w:tab w:leader="none" w:pos="6200" w:val="left"/>
        </w:tabs>
        <w:rPr>
          <w:sz w:val="20"/>
          <w:szCs w:val="20"/>
          <w:color w:val="auto"/>
        </w:rPr>
      </w:pPr>
      <w:r>
        <w:rPr>
          <w:rFonts w:ascii="Arial" w:cs="Arial" w:eastAsia="Arial" w:hAnsi="Arial"/>
          <w:sz w:val="18"/>
          <w:szCs w:val="18"/>
          <w:color w:val="auto"/>
        </w:rPr>
        <w:t>Investor@labcorp.com</w:t>
      </w:r>
      <w:r>
        <w:rPr>
          <w:sz w:val="20"/>
          <w:szCs w:val="20"/>
          <w:color w:val="auto"/>
        </w:rPr>
        <w:tab/>
      </w:r>
      <w:r>
        <w:rPr>
          <w:rFonts w:ascii="Arial" w:cs="Arial" w:eastAsia="Arial" w:hAnsi="Arial"/>
          <w:sz w:val="18"/>
          <w:szCs w:val="18"/>
          <w:color w:val="auto"/>
        </w:rPr>
        <w:t>Media@labcorp.com</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Labcorp Announces 2026 First Quarter Results; Raises Full Year 2026 Guidance</w:t>
      </w:r>
    </w:p>
    <w:p>
      <w:pPr>
        <w:spacing w:after="0" w:line="200" w:lineRule="exact"/>
        <w:rPr>
          <w:sz w:val="20"/>
          <w:szCs w:val="20"/>
          <w:color w:val="auto"/>
        </w:rPr>
      </w:pPr>
    </w:p>
    <w:p>
      <w:pPr>
        <w:spacing w:after="0" w:line="31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Results from Operations for first quarter 2026 versus first quarter 2025:</w:t>
      </w:r>
    </w:p>
    <w:p>
      <w:pPr>
        <w:spacing w:after="0" w:line="53" w:lineRule="exact"/>
        <w:rPr>
          <w:rFonts w:ascii="Arial" w:cs="Arial" w:eastAsia="Arial" w:hAnsi="Arial"/>
          <w:sz w:val="20"/>
          <w:szCs w:val="20"/>
          <w:b w:val="1"/>
          <w:bCs w:val="1"/>
          <w:color w:val="auto"/>
        </w:rPr>
      </w:pPr>
    </w:p>
    <w:p>
      <w:pPr>
        <w:ind w:left="980" w:hanging="324"/>
        <w:spacing w:after="0"/>
        <w:tabs>
          <w:tab w:leader="none" w:pos="980" w:val="left"/>
        </w:tabs>
        <w:numPr>
          <w:ilvl w:val="1"/>
          <w:numId w:val="2"/>
        </w:numPr>
        <w:rPr>
          <w:rFonts w:ascii="Arial" w:cs="Arial" w:eastAsia="Arial" w:hAnsi="Arial"/>
          <w:sz w:val="20"/>
          <w:szCs w:val="20"/>
          <w:color w:val="auto"/>
        </w:rPr>
      </w:pPr>
      <w:r>
        <w:rPr>
          <w:rFonts w:ascii="Arial" w:cs="Arial" w:eastAsia="Arial" w:hAnsi="Arial"/>
          <w:sz w:val="20"/>
          <w:szCs w:val="20"/>
          <w:color w:val="auto"/>
        </w:rPr>
        <w:t>Revenue: $3.54 billion vs. $3.35 billion, up 5.8%</w:t>
      </w:r>
    </w:p>
    <w:p>
      <w:pPr>
        <w:spacing w:after="0" w:line="40" w:lineRule="exact"/>
        <w:rPr>
          <w:rFonts w:ascii="Arial" w:cs="Arial" w:eastAsia="Arial" w:hAnsi="Arial"/>
          <w:sz w:val="20"/>
          <w:szCs w:val="20"/>
          <w:color w:val="auto"/>
        </w:rPr>
      </w:pPr>
    </w:p>
    <w:p>
      <w:pPr>
        <w:ind w:left="980" w:hanging="324"/>
        <w:spacing w:after="0"/>
        <w:tabs>
          <w:tab w:leader="none" w:pos="980" w:val="left"/>
        </w:tabs>
        <w:numPr>
          <w:ilvl w:val="1"/>
          <w:numId w:val="2"/>
        </w:numPr>
        <w:rPr>
          <w:rFonts w:ascii="Arial" w:cs="Arial" w:eastAsia="Arial" w:hAnsi="Arial"/>
          <w:sz w:val="20"/>
          <w:szCs w:val="20"/>
          <w:color w:val="auto"/>
        </w:rPr>
      </w:pPr>
      <w:r>
        <w:rPr>
          <w:rFonts w:ascii="Arial" w:cs="Arial" w:eastAsia="Arial" w:hAnsi="Arial"/>
          <w:sz w:val="20"/>
          <w:szCs w:val="20"/>
          <w:color w:val="auto"/>
        </w:rPr>
        <w:t>Diluted EPS: $3.35 vs. $2.52, up 32.8%</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1"/>
          <w:numId w:val="2"/>
        </w:numPr>
        <w:rPr>
          <w:rFonts w:ascii="Arial" w:cs="Arial" w:eastAsia="Arial" w:hAnsi="Arial"/>
          <w:sz w:val="20"/>
          <w:szCs w:val="20"/>
          <w:color w:val="auto"/>
        </w:rPr>
      </w:pPr>
      <w:r>
        <w:rPr>
          <w:rFonts w:ascii="Arial" w:cs="Arial" w:eastAsia="Arial" w:hAnsi="Arial"/>
          <w:sz w:val="20"/>
          <w:szCs w:val="20"/>
          <w:color w:val="auto"/>
        </w:rPr>
        <w:t>Adjusted EPS: $4.25 vs. $3.84, up 10.6%</w:t>
      </w:r>
    </w:p>
    <w:p>
      <w:pPr>
        <w:spacing w:after="0" w:line="40" w:lineRule="exact"/>
        <w:rPr>
          <w:rFonts w:ascii="Arial" w:cs="Arial" w:eastAsia="Arial" w:hAnsi="Arial"/>
          <w:sz w:val="20"/>
          <w:szCs w:val="20"/>
          <w:color w:val="auto"/>
        </w:rPr>
      </w:pPr>
    </w:p>
    <w:p>
      <w:pPr>
        <w:ind w:left="300" w:hanging="292"/>
        <w:spacing w:after="0"/>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Raised Full-Year Enterprise Revenue and Adjusted EPS guidance:</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1"/>
          <w:numId w:val="2"/>
        </w:numPr>
        <w:rPr>
          <w:rFonts w:ascii="Arial" w:cs="Arial" w:eastAsia="Arial" w:hAnsi="Arial"/>
          <w:sz w:val="20"/>
          <w:szCs w:val="20"/>
          <w:color w:val="auto"/>
        </w:rPr>
      </w:pPr>
      <w:r>
        <w:rPr>
          <w:rFonts w:ascii="Arial" w:cs="Arial" w:eastAsia="Arial" w:hAnsi="Arial"/>
          <w:sz w:val="20"/>
          <w:szCs w:val="20"/>
          <w:color w:val="auto"/>
        </w:rPr>
        <w:t>Revenue guidance of 5.0% to 6.1%; up 20 basis points at the midpoint</w:t>
      </w:r>
    </w:p>
    <w:p>
      <w:pPr>
        <w:spacing w:after="0" w:line="40" w:lineRule="exact"/>
        <w:rPr>
          <w:rFonts w:ascii="Arial" w:cs="Arial" w:eastAsia="Arial" w:hAnsi="Arial"/>
          <w:sz w:val="20"/>
          <w:szCs w:val="20"/>
          <w:color w:val="auto"/>
        </w:rPr>
      </w:pPr>
    </w:p>
    <w:p>
      <w:pPr>
        <w:ind w:left="980" w:hanging="324"/>
        <w:spacing w:after="0"/>
        <w:tabs>
          <w:tab w:leader="none" w:pos="980" w:val="left"/>
        </w:tabs>
        <w:numPr>
          <w:ilvl w:val="1"/>
          <w:numId w:val="2"/>
        </w:numPr>
        <w:rPr>
          <w:rFonts w:ascii="Arial" w:cs="Arial" w:eastAsia="Arial" w:hAnsi="Arial"/>
          <w:sz w:val="20"/>
          <w:szCs w:val="20"/>
          <w:color w:val="auto"/>
        </w:rPr>
      </w:pPr>
      <w:r>
        <w:rPr>
          <w:rFonts w:ascii="Arial" w:cs="Arial" w:eastAsia="Arial" w:hAnsi="Arial"/>
          <w:sz w:val="20"/>
          <w:szCs w:val="20"/>
          <w:color w:val="auto"/>
        </w:rPr>
        <w:t>Adjusted EPS range of $17.70 to $18.35; up 13 cents at the midpoint</w:t>
      </w:r>
    </w:p>
    <w:p>
      <w:pPr>
        <w:spacing w:after="0" w:line="53" w:lineRule="exact"/>
        <w:rPr>
          <w:rFonts w:ascii="Arial" w:cs="Arial" w:eastAsia="Arial" w:hAnsi="Arial"/>
          <w:sz w:val="20"/>
          <w:szCs w:val="20"/>
          <w:color w:val="auto"/>
        </w:rPr>
      </w:pPr>
    </w:p>
    <w:p>
      <w:pPr>
        <w:ind w:left="300" w:hanging="292"/>
        <w:spacing w:after="0"/>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Advanced leadership in specialty and companion diagnostics and expanded strategic health systems collaborations</w:t>
      </w:r>
    </w:p>
    <w:p>
      <w:pPr>
        <w:spacing w:after="0" w:line="40" w:lineRule="exact"/>
        <w:rPr>
          <w:rFonts w:ascii="Arial" w:cs="Arial" w:eastAsia="Arial" w:hAnsi="Arial"/>
          <w:sz w:val="20"/>
          <w:szCs w:val="20"/>
          <w:color w:val="auto"/>
        </w:rPr>
      </w:pPr>
    </w:p>
    <w:p>
      <w:pPr>
        <w:ind w:left="300" w:hanging="292"/>
        <w:spacing w:after="0"/>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Collaborated with Optum.ai to enhance patient and provider experience</w:t>
      </w:r>
    </w:p>
    <w:p>
      <w:pPr>
        <w:spacing w:after="0" w:line="200" w:lineRule="exact"/>
        <w:rPr>
          <w:sz w:val="20"/>
          <w:szCs w:val="20"/>
          <w:color w:val="auto"/>
        </w:rPr>
      </w:pPr>
    </w:p>
    <w:p>
      <w:pPr>
        <w:spacing w:after="0" w:line="365" w:lineRule="exact"/>
        <w:rPr>
          <w:sz w:val="20"/>
          <w:szCs w:val="20"/>
          <w:color w:val="auto"/>
        </w:rPr>
      </w:pPr>
    </w:p>
    <w:p>
      <w:pPr>
        <w:jc w:val="both"/>
        <w:spacing w:after="0" w:line="386" w:lineRule="auto"/>
        <w:rPr>
          <w:sz w:val="20"/>
          <w:szCs w:val="20"/>
          <w:color w:val="auto"/>
        </w:rPr>
      </w:pPr>
      <w:r>
        <w:rPr>
          <w:rFonts w:ascii="Arial" w:cs="Arial" w:eastAsia="Arial" w:hAnsi="Arial"/>
          <w:sz w:val="20"/>
          <w:szCs w:val="20"/>
          <w:b w:val="1"/>
          <w:bCs w:val="1"/>
          <w:color w:val="auto"/>
        </w:rPr>
        <w:t xml:space="preserve">BURLINGTON, N.C., April 30, 2026 – </w:t>
      </w:r>
      <w:r>
        <w:rPr>
          <w:rFonts w:ascii="Arial" w:cs="Arial" w:eastAsia="Arial" w:hAnsi="Arial"/>
          <w:sz w:val="20"/>
          <w:szCs w:val="20"/>
          <w:color w:val="auto"/>
        </w:rPr>
        <w:t>Labcorp Holdings Inc. (NYSE: LH), a global leader of innovative and comprehensive</w:t>
      </w:r>
      <w:r>
        <w:rPr>
          <w:rFonts w:ascii="Arial" w:cs="Arial" w:eastAsia="Arial" w:hAnsi="Arial"/>
          <w:sz w:val="20"/>
          <w:szCs w:val="20"/>
          <w:b w:val="1"/>
          <w:bCs w:val="1"/>
          <w:color w:val="auto"/>
        </w:rPr>
        <w:t xml:space="preserve"> </w:t>
      </w:r>
      <w:r>
        <w:rPr>
          <w:rFonts w:ascii="Arial" w:cs="Arial" w:eastAsia="Arial" w:hAnsi="Arial"/>
          <w:sz w:val="20"/>
          <w:szCs w:val="20"/>
          <w:color w:val="auto"/>
        </w:rPr>
        <w:t>laboratory services, today announced results for the first quarter ended March 31, 2026 and updated full-year guidance.</w:t>
      </w:r>
    </w:p>
    <w:p>
      <w:pPr>
        <w:spacing w:after="0" w:line="194"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“Labcorp delivered another quarter of strong results, with robust growth and double-digit Adjusted EPS growth driven by continued momentum across our Diagnostics and Central Laboratory businesses,” said Adam Schechter, Chairman and CEO of Labcorp. “Health systems, providers, consumers, and biopharmaceutical customers are increasingly turning to Labcorp as their partner of choice for their complex, innovative testing needs. Our investments in advanced technologies, including robotics and AI, are improving the customer experience and transforming the way we operate. Driven by continued progress across our strategic priorities, we are raising our full year Adjusted EPS guidance to $18.03 at the midpoint of the range, an increase of $0.13.”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Labcorp continues to advance its strategic priorities: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 a partner of choice for health systems and regional and local laboratories:</w:t>
      </w:r>
    </w:p>
    <w:p>
      <w:pPr>
        <w:spacing w:after="0" w:line="243" w:lineRule="exact"/>
        <w:rPr>
          <w:sz w:val="20"/>
          <w:szCs w:val="20"/>
          <w:color w:val="auto"/>
        </w:rPr>
      </w:pPr>
    </w:p>
    <w:p>
      <w:pPr>
        <w:ind w:left="660" w:hanging="328"/>
        <w:spacing w:after="0" w:line="28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Announced a nationwide strategic collaboration with Children’s Hospital of Philadelphia (CHOP) to expand access to cutting-edge diagnostics for pediatric patients.</w:t>
      </w:r>
    </w:p>
    <w:p>
      <w:pPr>
        <w:spacing w:after="0" w:line="167" w:lineRule="exact"/>
        <w:rPr>
          <w:rFonts w:ascii="Arial" w:cs="Arial" w:eastAsia="Arial" w:hAnsi="Arial"/>
          <w:sz w:val="20"/>
          <w:szCs w:val="20"/>
          <w:color w:val="auto"/>
        </w:rPr>
      </w:pPr>
    </w:p>
    <w:p>
      <w:pPr>
        <w:ind w:left="660" w:right="20" w:hanging="328"/>
        <w:spacing w:after="0" w:line="28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Completed the acquisition of select assets of Crouse Health’s Laboratory Alliance of Central New York and executed an agreement with Crouse Health to manage their inpatient labs.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Lead in specialty testing:</w:t>
      </w:r>
    </w:p>
    <w:p>
      <w:pPr>
        <w:spacing w:after="0" w:line="243" w:lineRule="exact"/>
        <w:rPr>
          <w:sz w:val="20"/>
          <w:szCs w:val="20"/>
          <w:color w:val="auto"/>
        </w:rPr>
      </w:pPr>
    </w:p>
    <w:p>
      <w:pPr>
        <w:ind w:left="660" w:hanging="328"/>
        <w:spacing w:after="0" w:line="286"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Announced a collaboration with Illumina to expand access to advanced genomic testing in oncology to deliver more precise biomarker insights.</w:t>
      </w:r>
    </w:p>
    <w:p>
      <w:pPr>
        <w:spacing w:after="0" w:line="167"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Expanded nationwide access to the first FDA-approved companion diagnostic that helps identify patients with</w:t>
      </w:r>
    </w:p>
    <w:p>
      <w:pPr>
        <w:spacing w:after="0" w:line="26"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platinum</w:t>
      </w:r>
      <w:r>
        <w:rPr>
          <w:rFonts w:ascii="MS PGothic" w:cs="MS PGothic" w:eastAsia="MS PGothic" w:hAnsi="MS PGothic"/>
          <w:sz w:val="20"/>
          <w:szCs w:val="20"/>
          <w:color w:val="auto"/>
        </w:rPr>
        <w:t>‑</w:t>
      </w:r>
      <w:r>
        <w:rPr>
          <w:rFonts w:ascii="Arial" w:cs="Arial" w:eastAsia="Arial" w:hAnsi="Arial"/>
          <w:sz w:val="20"/>
          <w:szCs w:val="20"/>
          <w:color w:val="auto"/>
        </w:rPr>
        <w:t>resistant ovarian cancer who may benefit from Merck’s KEYTRUDA® and KEYTRUDA QLEX™.</w:t>
      </w:r>
    </w:p>
    <w:p>
      <w:pPr>
        <w:spacing w:after="0" w:line="196" w:lineRule="exact"/>
        <w:rPr>
          <w:sz w:val="20"/>
          <w:szCs w:val="20"/>
          <w:color w:val="auto"/>
        </w:rPr>
      </w:pPr>
    </w:p>
    <w:p>
      <w:pPr>
        <w:ind w:left="660" w:hanging="328"/>
        <w:spacing w:after="0" w:line="269" w:lineRule="exact"/>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Launched the Labcorp Fentanyl Visual Urine Test, an FDA</w:t>
      </w:r>
      <w:r>
        <w:rPr>
          <w:rFonts w:ascii="MS PGothic" w:cs="MS PGothic" w:eastAsia="MS PGothic" w:hAnsi="MS PGothic"/>
          <w:sz w:val="20"/>
          <w:szCs w:val="20"/>
          <w:color w:val="auto"/>
        </w:rPr>
        <w:t>‑</w:t>
      </w:r>
      <w:r>
        <w:rPr>
          <w:rFonts w:ascii="Arial" w:cs="Arial" w:eastAsia="Arial" w:hAnsi="Arial"/>
          <w:sz w:val="20"/>
          <w:szCs w:val="20"/>
          <w:color w:val="auto"/>
        </w:rPr>
        <w:t>cleared rapid screening test that delivers results in just 10 minutes and assesses possible fentanyl exposure for up to 48 hours.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Shape our future through technology and innovation:</w:t>
      </w:r>
    </w:p>
    <w:p>
      <w:pPr>
        <w:spacing w:after="0" w:line="243" w:lineRule="exact"/>
        <w:rPr>
          <w:sz w:val="20"/>
          <w:szCs w:val="20"/>
          <w:color w:val="auto"/>
        </w:rPr>
      </w:pPr>
    </w:p>
    <w:p>
      <w:pPr>
        <w:ind w:left="660" w:right="20" w:hanging="328"/>
        <w:spacing w:after="0" w:line="286"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Launched an AI-powered, real-world data platform with Amazon Web Services (AWS) and Datavant to accelerate Alzheimer’s research.</w:t>
      </w:r>
    </w:p>
    <w:p>
      <w:pPr>
        <w:spacing w:after="0" w:line="180"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Expanded a collaboration with PathAI to deploy AISight® Dx, an FDA-cleared digital pathology platform.</w:t>
      </w:r>
    </w:p>
    <w:p>
      <w:pPr>
        <w:spacing w:after="0" w:line="242" w:lineRule="exact"/>
        <w:rPr>
          <w:rFonts w:ascii="Arial" w:cs="Arial" w:eastAsia="Arial" w:hAnsi="Arial"/>
          <w:sz w:val="20"/>
          <w:szCs w:val="20"/>
          <w:color w:val="auto"/>
        </w:rPr>
      </w:pPr>
    </w:p>
    <w:p>
      <w:pPr>
        <w:ind w:left="660" w:right="20" w:hanging="328"/>
        <w:spacing w:after="0" w:line="286"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Announced a collaboration with Optum.ai to apply AI capabilities to streamline laboratory operations, improve efficiency, and enhance the patient and provider experience.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Drive personalized health solutions:</w:t>
      </w:r>
    </w:p>
    <w:p>
      <w:pPr>
        <w:spacing w:after="0" w:line="256" w:lineRule="exact"/>
        <w:rPr>
          <w:sz w:val="20"/>
          <w:szCs w:val="20"/>
          <w:color w:val="auto"/>
        </w:rPr>
      </w:pPr>
    </w:p>
    <w:p>
      <w:pPr>
        <w:ind w:left="660" w:hanging="328"/>
        <w:spacing w:after="0" w:line="271"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Grew Consumer Health and expanded the Labcorp OnDemand test portfolio with new tests for insulin resistance and pancreatic function, as well as customizable men’s and women’s health tests.</w:t>
      </w:r>
    </w:p>
    <w:p>
      <w:pPr>
        <w:spacing w:after="0" w:line="196" w:lineRule="exact"/>
        <w:rPr>
          <w:rFonts w:ascii="Arial" w:cs="Arial" w:eastAsia="Arial" w:hAnsi="Arial"/>
          <w:sz w:val="20"/>
          <w:szCs w:val="20"/>
          <w:color w:val="auto"/>
        </w:rPr>
      </w:pPr>
    </w:p>
    <w:p>
      <w:pPr>
        <w:ind w:left="660" w:hanging="328"/>
        <w:spacing w:after="0" w:line="286"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May, the company will launch MyLabcorp, a secure, AI-powered mobile app that brings an individual’s test results and health data together with clinical guidance to help consumers better understand their test results.</w:t>
      </w:r>
    </w:p>
    <w:p>
      <w:pPr>
        <w:spacing w:after="0" w:line="221"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Labcorp also remains committed to a disciplined allocation of capital. In the first quarter of 2026, the company invested $202.2 million in acquisitions, repurchased $98.0 million of stock, and paid out $61.2 million in dividends. On April 9, 2026, the company announced a quarterly cash dividend of $0.72 per share of common stock, payable on June 11, 2026, to stockholders of record at the close of business on May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5"/>
          <w:szCs w:val="25"/>
          <w:b w:val="1"/>
          <w:bCs w:val="1"/>
          <w:color w:val="auto"/>
        </w:rPr>
        <w:t>LABCORP HOLDINGS INC. AND SUBSIDIARIES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CONSOLIDATED RESULTS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jc w:val="right"/>
              <w:ind w:right="5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16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Delta</w:t>
            </w:r>
          </w:p>
        </w:tc>
      </w:tr>
      <w:tr>
        <w:trPr>
          <w:trHeight w:val="439"/>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Revenue Summary </w:t>
            </w:r>
            <w:r>
              <w:rPr>
                <w:rFonts w:ascii="Arial" w:cs="Arial" w:eastAsia="Arial" w:hAnsi="Arial"/>
                <w:sz w:val="18"/>
                <w:szCs w:val="18"/>
                <w:color w:val="auto"/>
              </w:rPr>
              <w:t>(Dollars in billions)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2"/>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Revenue</w:t>
            </w:r>
          </w:p>
        </w:tc>
        <w:tc>
          <w:tcPr>
            <w:tcW w:w="55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3.54</w:t>
            </w:r>
          </w:p>
        </w:tc>
        <w:tc>
          <w:tcPr>
            <w:tcW w:w="3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18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2"/>
        </w:trPr>
        <w:tc>
          <w:tcPr>
            <w:tcW w:w="7180" w:type="dxa"/>
            <w:vAlign w:val="bottom"/>
            <w:gridSpan w:val="2"/>
          </w:tcPr>
          <w:p>
            <w:pPr>
              <w:ind w:left="220"/>
              <w:spacing w:after="0" w:line="232" w:lineRule="exact"/>
              <w:rPr>
                <w:sz w:val="20"/>
                <w:szCs w:val="20"/>
                <w:color w:val="auto"/>
              </w:rPr>
            </w:pPr>
            <w:r>
              <w:rPr>
                <w:rFonts w:ascii="Arial" w:cs="Arial" w:eastAsia="Arial" w:hAnsi="Arial"/>
                <w:sz w:val="18"/>
                <w:szCs w:val="18"/>
                <w:color w:val="auto"/>
              </w:rPr>
              <w:t>Acquisitions, net of Divestitures</w:t>
            </w:r>
            <w:r>
              <w:rPr>
                <w:rFonts w:ascii="Arial" w:cs="Arial" w:eastAsia="Arial" w:hAnsi="Arial"/>
                <w:sz w:val="23"/>
                <w:szCs w:val="23"/>
                <w:color w:val="auto"/>
                <w:vertAlign w:val="superscript"/>
              </w:rPr>
              <w:t>(2)</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9"/>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Foreign Exchange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14" w:lineRule="exact"/>
        <w:rPr>
          <w:sz w:val="20"/>
          <w:szCs w:val="20"/>
          <w:color w:val="auto"/>
        </w:rPr>
      </w:pPr>
    </w:p>
    <w:p>
      <w:pPr>
        <w:ind w:left="200" w:hanging="194"/>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Excludes the impact from acquisitions, divestitures, and currency, as well as other strategic actions taken in Early Development.</w:t>
      </w:r>
    </w:p>
    <w:p>
      <w:pPr>
        <w:spacing w:after="0" w:line="8" w:lineRule="exact"/>
        <w:rPr>
          <w:rFonts w:ascii="Arial" w:cs="Arial" w:eastAsia="Arial" w:hAnsi="Arial"/>
          <w:sz w:val="23"/>
          <w:szCs w:val="23"/>
          <w:color w:val="auto"/>
          <w:vertAlign w:val="superscript"/>
        </w:rPr>
      </w:pPr>
    </w:p>
    <w:p>
      <w:pPr>
        <w:ind w:left="200" w:hanging="194"/>
        <w:spacing w:after="0" w:line="200"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the impact from strategic actions taken in Early Development.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Earnings Summary </w:t>
            </w:r>
            <w:r>
              <w:rPr>
                <w:rFonts w:ascii="Arial" w:cs="Arial" w:eastAsia="Arial" w:hAnsi="Arial"/>
                <w:sz w:val="18"/>
                <w:szCs w:val="18"/>
                <w:color w:val="auto"/>
              </w:rPr>
              <w:t>(Dollars in millions, except per share data)</w:t>
            </w: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5"/>
        </w:trPr>
        <w:tc>
          <w:tcPr>
            <w:tcW w:w="6120" w:type="dxa"/>
            <w:vAlign w:val="bottom"/>
            <w:gridSpan w:val="2"/>
          </w:tcPr>
          <w:p>
            <w:pPr>
              <w:spacing w:after="0"/>
              <w:rPr>
                <w:sz w:val="20"/>
                <w:szCs w:val="20"/>
                <w:color w:val="auto"/>
              </w:rPr>
            </w:pPr>
            <w:r>
              <w:rPr>
                <w:rFonts w:ascii="Arial" w:cs="Arial" w:eastAsia="Arial" w:hAnsi="Arial"/>
                <w:sz w:val="18"/>
                <w:szCs w:val="18"/>
                <w:color w:val="auto"/>
              </w:rPr>
              <w:t>Operating Income (“OI”)</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380.8</w:t>
            </w:r>
          </w:p>
        </w:tc>
        <w:tc>
          <w:tcPr>
            <w:tcW w:w="260" w:type="dxa"/>
            <w:vAlign w:val="bottom"/>
          </w:tcPr>
          <w:p>
            <w:pPr>
              <w:spacing w:after="0"/>
              <w:rPr>
                <w:sz w:val="21"/>
                <w:szCs w:val="21"/>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326.0</w:t>
            </w:r>
          </w:p>
        </w:tc>
        <w:tc>
          <w:tcPr>
            <w:tcW w:w="860" w:type="dxa"/>
            <w:vAlign w:val="bottom"/>
          </w:tcPr>
          <w:p>
            <w:pPr>
              <w:spacing w:after="0"/>
              <w:rPr>
                <w:sz w:val="21"/>
                <w:szCs w:val="21"/>
                <w:color w:val="auto"/>
              </w:rPr>
            </w:pPr>
          </w:p>
        </w:tc>
      </w:tr>
      <w:tr>
        <w:trPr>
          <w:trHeight w:val="239"/>
        </w:trPr>
        <w:tc>
          <w:tcPr>
            <w:tcW w:w="6120" w:type="dxa"/>
            <w:vAlign w:val="bottom"/>
            <w:gridSpan w:val="2"/>
          </w:tcPr>
          <w:p>
            <w:pPr>
              <w:spacing w:after="0"/>
              <w:rPr>
                <w:sz w:val="20"/>
                <w:szCs w:val="20"/>
                <w:color w:val="auto"/>
              </w:rPr>
            </w:pPr>
            <w:r>
              <w:rPr>
                <w:rFonts w:ascii="Arial" w:cs="Arial" w:eastAsia="Arial" w:hAnsi="Arial"/>
                <w:sz w:val="18"/>
                <w:szCs w:val="18"/>
                <w:color w:val="auto"/>
              </w:rPr>
              <w:t>OI as % of Revenue</w:t>
            </w:r>
          </w:p>
        </w:tc>
        <w:tc>
          <w:tcPr>
            <w:tcW w:w="1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10.8 %</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9.7 %</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100 bps</w:t>
            </w:r>
          </w:p>
        </w:tc>
      </w:tr>
      <w:tr>
        <w:trPr>
          <w:trHeight w:val="569"/>
        </w:trPr>
        <w:tc>
          <w:tcPr>
            <w:tcW w:w="6120" w:type="dxa"/>
            <w:vAlign w:val="bottom"/>
            <w:gridSpan w:val="2"/>
          </w:tcPr>
          <w:p>
            <w:pPr>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127.1</w:t>
            </w:r>
          </w:p>
        </w:tc>
        <w:tc>
          <w:tcPr>
            <w:tcW w:w="260" w:type="dxa"/>
            <w:vAlign w:val="bottom"/>
          </w:tcPr>
          <w:p>
            <w:pPr>
              <w:spacing w:after="0"/>
              <w:rPr>
                <w:sz w:val="24"/>
                <w:szCs w:val="24"/>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143.0</w:t>
            </w:r>
          </w:p>
        </w:tc>
        <w:tc>
          <w:tcPr>
            <w:tcW w:w="860" w:type="dxa"/>
            <w:vAlign w:val="bottom"/>
          </w:tcPr>
          <w:p>
            <w:pPr>
              <w:spacing w:after="0"/>
              <w:rPr>
                <w:sz w:val="24"/>
                <w:szCs w:val="24"/>
                <w:color w:val="auto"/>
              </w:rPr>
            </w:pPr>
          </w:p>
        </w:tc>
      </w:tr>
      <w:tr>
        <w:trPr>
          <w:trHeight w:val="418"/>
        </w:trPr>
        <w:tc>
          <w:tcPr>
            <w:tcW w:w="6120" w:type="dxa"/>
            <w:vAlign w:val="bottom"/>
            <w:gridSpan w:val="2"/>
          </w:tcPr>
          <w:p>
            <w:pPr>
              <w:spacing w:after="0"/>
              <w:rPr>
                <w:sz w:val="20"/>
                <w:szCs w:val="20"/>
                <w:color w:val="auto"/>
              </w:rPr>
            </w:pPr>
            <w:r>
              <w:rPr>
                <w:rFonts w:ascii="Arial" w:cs="Arial" w:eastAsia="Arial" w:hAnsi="Arial"/>
                <w:sz w:val="18"/>
                <w:szCs w:val="18"/>
                <w:color w:val="auto"/>
              </w:rPr>
              <w:t xml:space="preserve">Adjusted Operating Income (“AOI”) </w:t>
            </w:r>
            <w:r>
              <w:rPr>
                <w:rFonts w:ascii="Arial" w:cs="Arial" w:eastAsia="Arial" w:hAnsi="Arial"/>
                <w:sz w:val="23"/>
                <w:szCs w:val="23"/>
                <w:color w:val="auto"/>
                <w:vertAlign w:val="superscript"/>
              </w:rPr>
              <w:t>(4)</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507.9</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w w:val="95"/>
              </w:rPr>
              <w:t>(5)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469.0</w:t>
            </w:r>
          </w:p>
        </w:tc>
        <w:tc>
          <w:tcPr>
            <w:tcW w:w="860" w:type="dxa"/>
            <w:vAlign w:val="bottom"/>
          </w:tcPr>
          <w:p>
            <w:pPr>
              <w:spacing w:after="0"/>
              <w:rPr>
                <w:sz w:val="24"/>
                <w:szCs w:val="24"/>
                <w:color w:val="auto"/>
              </w:rPr>
            </w:pPr>
          </w:p>
        </w:tc>
      </w:tr>
      <w:tr>
        <w:trPr>
          <w:trHeight w:val="311"/>
        </w:trPr>
        <w:tc>
          <w:tcPr>
            <w:tcW w:w="6120" w:type="dxa"/>
            <w:vAlign w:val="bottom"/>
            <w:gridSpan w:val="2"/>
          </w:tcPr>
          <w:p>
            <w:pPr>
              <w:spacing w:after="0"/>
              <w:rPr>
                <w:sz w:val="20"/>
                <w:szCs w:val="20"/>
                <w:color w:val="auto"/>
              </w:rPr>
            </w:pPr>
            <w:r>
              <w:rPr>
                <w:rFonts w:ascii="Arial" w:cs="Arial" w:eastAsia="Arial" w:hAnsi="Arial"/>
                <w:sz w:val="18"/>
                <w:szCs w:val="18"/>
                <w:color w:val="auto"/>
              </w:rPr>
              <w:t>AOI as % of Revenue</w:t>
            </w:r>
          </w:p>
        </w:tc>
        <w:tc>
          <w:tcPr>
            <w:tcW w:w="1440" w:type="dxa"/>
            <w:vAlign w:val="bottom"/>
          </w:tcPr>
          <w:p>
            <w:pPr>
              <w:spacing w:after="0"/>
              <w:rPr>
                <w:sz w:val="24"/>
                <w:szCs w:val="24"/>
                <w:color w:val="auto"/>
              </w:rPr>
            </w:pPr>
          </w:p>
        </w:tc>
        <w:tc>
          <w:tcPr>
            <w:tcW w:w="1200" w:type="dxa"/>
            <w:vAlign w:val="bottom"/>
            <w:gridSpan w:val="2"/>
          </w:tcPr>
          <w:p>
            <w:pPr>
              <w:jc w:val="right"/>
              <w:ind w:right="42"/>
              <w:spacing w:after="0"/>
              <w:rPr>
                <w:sz w:val="20"/>
                <w:szCs w:val="20"/>
                <w:color w:val="auto"/>
              </w:rPr>
            </w:pPr>
            <w:r>
              <w:rPr>
                <w:rFonts w:ascii="Arial" w:cs="Arial" w:eastAsia="Arial" w:hAnsi="Arial"/>
                <w:sz w:val="18"/>
                <w:szCs w:val="18"/>
                <w:color w:val="auto"/>
              </w:rPr>
              <w:t xml:space="preserve">14.4 % </w:t>
            </w:r>
            <w:r>
              <w:rPr>
                <w:rFonts w:ascii="Arial" w:cs="Arial" w:eastAsia="Arial" w:hAnsi="Arial"/>
                <w:sz w:val="23"/>
                <w:szCs w:val="23"/>
                <w:color w:val="auto"/>
                <w:vertAlign w:val="superscript"/>
              </w:rPr>
              <w:t>(5)</w:t>
            </w:r>
          </w:p>
        </w:tc>
        <w:tc>
          <w:tcPr>
            <w:tcW w:w="44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14.0 %</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30 bps</w:t>
            </w:r>
          </w:p>
        </w:tc>
      </w:tr>
      <w:tr>
        <w:trPr>
          <w:trHeight w:val="421"/>
        </w:trPr>
        <w:tc>
          <w:tcPr>
            <w:tcW w:w="6120" w:type="dxa"/>
            <w:vAlign w:val="bottom"/>
            <w:gridSpan w:val="2"/>
          </w:tcPr>
          <w:p>
            <w:pPr>
              <w:spacing w:after="0"/>
              <w:rPr>
                <w:sz w:val="20"/>
                <w:szCs w:val="20"/>
                <w:color w:val="auto"/>
              </w:rPr>
            </w:pPr>
            <w:r>
              <w:rPr>
                <w:rFonts w:ascii="Arial" w:cs="Arial" w:eastAsia="Arial" w:hAnsi="Arial"/>
                <w:sz w:val="18"/>
                <w:szCs w:val="18"/>
                <w:color w:val="auto"/>
              </w:rPr>
              <w:t>Net Earnings Attributable to Labcorp Holdings Inc.</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277.8</w:t>
            </w:r>
          </w:p>
        </w:tc>
        <w:tc>
          <w:tcPr>
            <w:tcW w:w="260" w:type="dxa"/>
            <w:vAlign w:val="bottom"/>
          </w:tcPr>
          <w:p>
            <w:pPr>
              <w:spacing w:after="0"/>
              <w:rPr>
                <w:sz w:val="24"/>
                <w:szCs w:val="24"/>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212.8</w:t>
            </w:r>
          </w:p>
        </w:tc>
        <w:tc>
          <w:tcPr>
            <w:tcW w:w="860" w:type="dxa"/>
            <w:vAlign w:val="bottom"/>
          </w:tcPr>
          <w:p>
            <w:pPr>
              <w:spacing w:after="0"/>
              <w:rPr>
                <w:sz w:val="24"/>
                <w:szCs w:val="24"/>
                <w:color w:val="auto"/>
              </w:rPr>
            </w:pPr>
          </w:p>
        </w:tc>
      </w:tr>
      <w:tr>
        <w:trPr>
          <w:trHeight w:val="227"/>
        </w:trPr>
        <w:tc>
          <w:tcPr>
            <w:tcW w:w="612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9"/>
                <w:szCs w:val="19"/>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2.52</w:t>
            </w:r>
          </w:p>
        </w:tc>
        <w:tc>
          <w:tcPr>
            <w:tcW w:w="860" w:type="dxa"/>
            <w:vAlign w:val="bottom"/>
          </w:tcPr>
          <w:p>
            <w:pPr>
              <w:spacing w:after="0"/>
              <w:rPr>
                <w:sz w:val="19"/>
                <w:szCs w:val="19"/>
                <w:color w:val="auto"/>
              </w:rPr>
            </w:pPr>
          </w:p>
        </w:tc>
      </w:tr>
      <w:tr>
        <w:trPr>
          <w:trHeight w:val="311"/>
        </w:trPr>
        <w:tc>
          <w:tcPr>
            <w:tcW w:w="6120" w:type="dxa"/>
            <w:vAlign w:val="bottom"/>
            <w:gridSpan w:val="2"/>
          </w:tcPr>
          <w:p>
            <w:pPr>
              <w:spacing w:after="0"/>
              <w:rPr>
                <w:sz w:val="20"/>
                <w:szCs w:val="20"/>
                <w:color w:val="auto"/>
              </w:rPr>
            </w:pPr>
            <w:r>
              <w:rPr>
                <w:rFonts w:ascii="Arial" w:cs="Arial" w:eastAsia="Arial" w:hAnsi="Arial"/>
                <w:sz w:val="18"/>
                <w:szCs w:val="18"/>
                <w:color w:val="auto"/>
              </w:rPr>
              <w:t xml:space="preserve">Adjusted EPS </w:t>
            </w:r>
            <w:r>
              <w:rPr>
                <w:rFonts w:ascii="Arial" w:cs="Arial" w:eastAsia="Arial" w:hAnsi="Arial"/>
                <w:sz w:val="23"/>
                <w:szCs w:val="23"/>
                <w:color w:val="auto"/>
                <w:vertAlign w:val="superscript"/>
              </w:rPr>
              <w:t>(4)</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24"/>
                <w:szCs w:val="24"/>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3.84</w:t>
            </w:r>
          </w:p>
        </w:tc>
        <w:tc>
          <w:tcPr>
            <w:tcW w:w="860" w:type="dxa"/>
            <w:vAlign w:val="bottom"/>
          </w:tcPr>
          <w:p>
            <w:pPr>
              <w:jc w:val="right"/>
              <w:spacing w:after="0"/>
              <w:rPr>
                <w:sz w:val="20"/>
                <w:szCs w:val="20"/>
                <w:color w:val="auto"/>
              </w:rPr>
            </w:pPr>
            <w:r>
              <w:rPr>
                <w:rFonts w:ascii="Arial" w:cs="Arial" w:eastAsia="Arial" w:hAnsi="Arial"/>
                <w:sz w:val="18"/>
                <w:szCs w:val="18"/>
                <w:color w:val="auto"/>
              </w:rPr>
              <w:t>10.6 %</w:t>
            </w:r>
          </w:p>
        </w:tc>
      </w:tr>
    </w:tbl>
    <w:p>
      <w:pPr>
        <w:spacing w:after="0" w:line="4" w:lineRule="exact"/>
        <w:rPr>
          <w:sz w:val="20"/>
          <w:szCs w:val="20"/>
          <w:color w:val="auto"/>
        </w:rPr>
      </w:pPr>
    </w:p>
    <w:p>
      <w:pPr>
        <w:ind w:left="200" w:hanging="194"/>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Adjustments include amortization, impairment charges, restructuring charges, and special items.</w:t>
      </w:r>
    </w:p>
    <w:p>
      <w:pPr>
        <w:spacing w:after="0" w:line="8" w:lineRule="exact"/>
        <w:rPr>
          <w:rFonts w:ascii="Arial" w:cs="Arial" w:eastAsia="Arial" w:hAnsi="Arial"/>
          <w:sz w:val="23"/>
          <w:szCs w:val="23"/>
          <w:color w:val="auto"/>
          <w:vertAlign w:val="superscript"/>
        </w:rPr>
      </w:pPr>
    </w:p>
    <w:p>
      <w:pPr>
        <w:ind w:left="180" w:hanging="174"/>
        <w:spacing w:after="0" w:line="219"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Non-GAAP financial measure. See “Reconciliation of Non-GAAP Measures” for additional information.</w:t>
      </w:r>
    </w:p>
    <w:p>
      <w:pPr>
        <w:spacing w:after="0" w:line="9" w:lineRule="exact"/>
        <w:rPr>
          <w:rFonts w:ascii="Arial" w:cs="Arial" w:eastAsia="Arial" w:hAnsi="Arial"/>
          <w:sz w:val="21"/>
          <w:szCs w:val="21"/>
          <w:color w:val="auto"/>
          <w:vertAlign w:val="superscript"/>
        </w:rPr>
      </w:pPr>
    </w:p>
    <w:p>
      <w:pPr>
        <w:ind w:left="200" w:hanging="194"/>
        <w:spacing w:after="0" w:line="200"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increase in adjusted operating income and margin was primarily driven by 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40" w:top="141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LABCORP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CONSOLIDATED RESULTS</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7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Cash Flow Summary </w:t>
            </w: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69"/>
        </w:trPr>
        <w:tc>
          <w:tcPr>
            <w:tcW w:w="7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Cash Flow</w:t>
            </w:r>
          </w:p>
        </w:tc>
        <w:tc>
          <w:tcPr>
            <w:tcW w:w="6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191.5</w:t>
            </w:r>
          </w:p>
        </w:tc>
        <w:tc>
          <w:tcPr>
            <w:tcW w:w="3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5"/>
        </w:trPr>
        <w:tc>
          <w:tcPr>
            <w:tcW w:w="79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20" w:type="dxa"/>
            <w:vAlign w:val="bottom"/>
          </w:tcPr>
          <w:p>
            <w:pPr>
              <w:jc w:val="right"/>
              <w:ind w:right="102"/>
              <w:spacing w:after="0"/>
              <w:rPr>
                <w:sz w:val="20"/>
                <w:szCs w:val="20"/>
                <w:color w:val="auto"/>
              </w:rPr>
            </w:pPr>
            <w:r>
              <w:rPr>
                <w:rFonts w:ascii="Arial" w:cs="Arial" w:eastAsia="Arial" w:hAnsi="Arial"/>
                <w:sz w:val="12"/>
                <w:szCs w:val="12"/>
                <w:color w:val="auto"/>
                <w:w w:val="95"/>
              </w:rPr>
              <w:t>(1)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00" w:hanging="174"/>
        <w:spacing w:after="0"/>
        <w:tabs>
          <w:tab w:leader="none" w:pos="200" w:val="left"/>
        </w:tabs>
        <w:numPr>
          <w:ilvl w:val="1"/>
          <w:numId w:val="10"/>
        </w:numPr>
        <w:rPr>
          <w:rFonts w:ascii="Arial" w:cs="Arial" w:eastAsia="Arial" w:hAnsi="Arial"/>
          <w:sz w:val="21"/>
          <w:szCs w:val="21"/>
          <w:color w:val="auto"/>
          <w:vertAlign w:val="superscript"/>
        </w:rPr>
      </w:pPr>
      <w:r>
        <w:rPr>
          <w:rFonts w:ascii="Arial" w:cs="Arial" w:eastAsia="Arial" w:hAnsi="Arial"/>
          <w:sz w:val="16"/>
          <w:szCs w:val="16"/>
          <w:color w:val="auto"/>
        </w:rPr>
        <w:t>The increase in free cash flow was primarily driven by higher cash earnings.</w:t>
      </w:r>
    </w:p>
    <w:p>
      <w:pPr>
        <w:spacing w:after="0" w:line="69"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20"/>
          <w:szCs w:val="20"/>
          <w:b w:val="1"/>
          <w:bCs w:val="1"/>
          <w:u w:val="single" w:color="auto"/>
          <w:color w:val="auto"/>
        </w:rPr>
        <w:t>Capital Allocation Summary</w:t>
      </w:r>
    </w:p>
    <w:p>
      <w:pPr>
        <w:spacing w:after="0" w:line="282" w:lineRule="exact"/>
        <w:rPr>
          <w:rFonts w:ascii="Arial" w:cs="Arial" w:eastAsia="Arial" w:hAnsi="Arial"/>
          <w:sz w:val="21"/>
          <w:szCs w:val="21"/>
          <w:color w:val="auto"/>
          <w:vertAlign w:val="superscript"/>
        </w:rPr>
      </w:pPr>
    </w:p>
    <w:p>
      <w:pPr>
        <w:ind w:left="340" w:hanging="332"/>
        <w:spacing w:after="0" w:line="359" w:lineRule="auto"/>
        <w:tabs>
          <w:tab w:leader="none" w:pos="301" w:val="left"/>
        </w:tabs>
        <w:numPr>
          <w:ilvl w:val="0"/>
          <w:numId w:val="10"/>
        </w:numPr>
        <w:rPr>
          <w:rFonts w:ascii="Arial" w:cs="Arial" w:eastAsia="Arial" w:hAnsi="Arial"/>
          <w:sz w:val="20"/>
          <w:szCs w:val="20"/>
          <w:color w:val="auto"/>
        </w:rPr>
      </w:pPr>
      <w:r>
        <w:rPr>
          <w:rFonts w:ascii="Arial" w:cs="Arial" w:eastAsia="Arial" w:hAnsi="Arial"/>
          <w:sz w:val="20"/>
          <w:szCs w:val="20"/>
          <w:color w:val="auto"/>
        </w:rPr>
        <w:t>At the end of the quarter, Labcorp's cash and cash equivalents balance was $981.1 million and total debt was $6.33 billion. These higher cash and debt balances are due to the pre-funding of maturing debt.</w:t>
      </w:r>
    </w:p>
    <w:p>
      <w:pPr>
        <w:ind w:left="340" w:right="20" w:hanging="332"/>
        <w:spacing w:after="0" w:line="384" w:lineRule="auto"/>
        <w:tabs>
          <w:tab w:leader="none" w:pos="301" w:val="left"/>
        </w:tabs>
        <w:numPr>
          <w:ilvl w:val="0"/>
          <w:numId w:val="10"/>
        </w:numPr>
        <w:rPr>
          <w:rFonts w:ascii="Arial" w:cs="Arial" w:eastAsia="Arial" w:hAnsi="Arial"/>
          <w:sz w:val="20"/>
          <w:szCs w:val="20"/>
          <w:color w:val="auto"/>
        </w:rPr>
      </w:pPr>
      <w:r>
        <w:rPr>
          <w:rFonts w:ascii="Arial" w:cs="Arial" w:eastAsia="Arial" w:hAnsi="Arial"/>
          <w:sz w:val="20"/>
          <w:szCs w:val="20"/>
          <w:color w:val="auto"/>
        </w:rPr>
        <w:t>During the quarter, the company invested $202.2 million in acquisitions, repurchased $98.0 million of stock, and paid out $61.2 million in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5"/>
          <w:szCs w:val="25"/>
          <w:b w:val="1"/>
          <w:bCs w:val="1"/>
          <w:color w:val="auto"/>
        </w:rPr>
        <w:t>LABCORP HOLDINGS INC.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Diagnostics Laboratories Segment Summary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6"/>
          </w:tcPr>
          <w:p>
            <w:pPr>
              <w:jc w:val="right"/>
              <w:ind w:right="7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Revenue Summary </w:t>
            </w:r>
            <w:r>
              <w:rPr>
                <w:rFonts w:ascii="Arial" w:cs="Arial" w:eastAsia="Arial" w:hAnsi="Arial"/>
                <w:sz w:val="18"/>
                <w:szCs w:val="18"/>
                <w:color w:val="auto"/>
              </w:rPr>
              <w:t>(Dollars in billions)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Delta</w:t>
            </w:r>
          </w:p>
        </w:tc>
        <w:tc>
          <w:tcPr>
            <w:tcW w:w="0" w:type="dxa"/>
            <w:vAlign w:val="bottom"/>
          </w:tcPr>
          <w:p>
            <w:pPr>
              <w:spacing w:after="0"/>
              <w:rPr>
                <w:sz w:val="1"/>
                <w:szCs w:val="1"/>
                <w:color w:val="auto"/>
              </w:rPr>
            </w:pPr>
          </w:p>
        </w:tc>
      </w:tr>
      <w:tr>
        <w:trPr>
          <w:trHeight w:val="169"/>
        </w:trPr>
        <w:tc>
          <w:tcPr>
            <w:tcW w:w="68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Revenue</w:t>
            </w:r>
          </w:p>
        </w:tc>
        <w:tc>
          <w:tcPr>
            <w:tcW w:w="5260" w:type="dxa"/>
            <w:vAlign w:val="bottom"/>
            <w:gridSpan w:val="2"/>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880" w:type="dxa"/>
            <w:vAlign w:val="bottom"/>
            <w:gridSpan w:val="3"/>
          </w:tcPr>
          <w:p>
            <w:pPr>
              <w:ind w:left="220"/>
              <w:spacing w:after="0"/>
              <w:rPr>
                <w:sz w:val="20"/>
                <w:szCs w:val="20"/>
                <w:color w:val="auto"/>
              </w:rPr>
            </w:pPr>
            <w:r>
              <w:rPr>
                <w:rFonts w:ascii="Arial" w:cs="Arial" w:eastAsia="Arial" w:hAnsi="Arial"/>
                <w:sz w:val="18"/>
                <w:szCs w:val="18"/>
                <w:color w:val="auto"/>
              </w:rPr>
              <w:t>Organic</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880" w:type="dxa"/>
            <w:vAlign w:val="bottom"/>
            <w:gridSpan w:val="3"/>
          </w:tcPr>
          <w:p>
            <w:pPr>
              <w:ind w:left="220"/>
              <w:spacing w:after="0"/>
              <w:rPr>
                <w:sz w:val="20"/>
                <w:szCs w:val="20"/>
                <w:color w:val="auto"/>
              </w:rPr>
            </w:pPr>
            <w:r>
              <w:rPr>
                <w:rFonts w:ascii="Arial" w:cs="Arial" w:eastAsia="Arial" w:hAnsi="Arial"/>
                <w:sz w:val="18"/>
                <w:szCs w:val="18"/>
                <w:color w:val="auto"/>
              </w:rPr>
              <w:t>Acquisitions, net of Divestitures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6880" w:type="dxa"/>
            <w:vAlign w:val="bottom"/>
            <w:gridSpan w:val="3"/>
          </w:tcPr>
          <w:p>
            <w:pPr>
              <w:ind w:left="220"/>
              <w:spacing w:after="0"/>
              <w:rPr>
                <w:sz w:val="20"/>
                <w:szCs w:val="20"/>
                <w:color w:val="auto"/>
              </w:rPr>
            </w:pPr>
            <w:r>
              <w:rPr>
                <w:rFonts w:ascii="Arial" w:cs="Arial" w:eastAsia="Arial" w:hAnsi="Arial"/>
                <w:sz w:val="18"/>
                <w:szCs w:val="18"/>
                <w:color w:val="auto"/>
              </w:rPr>
              <w:t>Foreign Exchange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603"/>
        </w:trPr>
        <w:tc>
          <w:tcPr>
            <w:tcW w:w="68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Earnings Summary </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40" w:type="dxa"/>
            <w:vAlign w:val="bottom"/>
            <w:gridSpan w:val="2"/>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880" w:type="dxa"/>
            <w:vAlign w:val="bottom"/>
            <w:gridSpan w:val="3"/>
          </w:tcPr>
          <w:p>
            <w:pPr>
              <w:spacing w:after="0" w:line="244" w:lineRule="exact"/>
              <w:rPr>
                <w:sz w:val="20"/>
                <w:szCs w:val="20"/>
                <w:color w:val="auto"/>
              </w:rPr>
            </w:pPr>
            <w:r>
              <w:rPr>
                <w:rFonts w:ascii="Arial" w:cs="Arial" w:eastAsia="Arial" w:hAnsi="Arial"/>
                <w:sz w:val="18"/>
                <w:szCs w:val="18"/>
                <w:color w:val="auto"/>
              </w:rPr>
              <w:t xml:space="preserve">Adjusted Operating Income (“AOI”) </w:t>
            </w:r>
            <w:r>
              <w:rPr>
                <w:rFonts w:ascii="Arial" w:cs="Arial" w:eastAsia="Arial" w:hAnsi="Arial"/>
                <w:sz w:val="23"/>
                <w:szCs w:val="23"/>
                <w:color w:val="auto"/>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line="245" w:lineRule="exact"/>
              <w:rPr>
                <w:sz w:val="20"/>
                <w:szCs w:val="20"/>
                <w:color w:val="auto"/>
              </w:rPr>
            </w:pPr>
            <w:r>
              <w:rPr>
                <w:rFonts w:ascii="Arial" w:cs="Arial" w:eastAsia="Arial" w:hAnsi="Arial"/>
                <w:sz w:val="18"/>
                <w:szCs w:val="18"/>
                <w:color w:val="auto"/>
              </w:rPr>
              <w:t xml:space="preserve">458.7  </w:t>
            </w:r>
            <w:r>
              <w:rPr>
                <w:rFonts w:ascii="Arial" w:cs="Arial" w:eastAsia="Arial" w:hAnsi="Arial"/>
                <w:sz w:val="25"/>
                <w:szCs w:val="25"/>
                <w:color w:val="auto"/>
                <w:vertAlign w:val="superscript"/>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427.5</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6880" w:type="dxa"/>
            <w:vAlign w:val="bottom"/>
            <w:gridSpan w:val="3"/>
          </w:tcPr>
          <w:p>
            <w:pPr>
              <w:spacing w:after="0"/>
              <w:rPr>
                <w:sz w:val="20"/>
                <w:szCs w:val="20"/>
                <w:color w:val="auto"/>
              </w:rPr>
            </w:pPr>
            <w:r>
              <w:rPr>
                <w:rFonts w:ascii="Arial" w:cs="Arial" w:eastAsia="Arial" w:hAnsi="Arial"/>
                <w:sz w:val="18"/>
                <w:szCs w:val="18"/>
                <w:color w:val="auto"/>
              </w:rPr>
              <w:t>AOI as % of Revenue</w:t>
            </w:r>
          </w:p>
        </w:tc>
        <w:tc>
          <w:tcPr>
            <w:tcW w:w="26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16.6 % </w:t>
            </w:r>
            <w:r>
              <w:rPr>
                <w:rFonts w:ascii="Arial" w:cs="Arial" w:eastAsia="Arial" w:hAnsi="Arial"/>
                <w:sz w:val="25"/>
                <w:szCs w:val="25"/>
                <w:color w:val="auto"/>
                <w:vertAlign w:val="superscript"/>
              </w:rPr>
              <w:t>(3)</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16.3 %</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30 bps</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80" w:hanging="174"/>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Non-GAAP financial measure. See “Reconciliation of Non-GAAP Measures” for additional information.</w:t>
      </w:r>
    </w:p>
    <w:p>
      <w:pPr>
        <w:spacing w:after="0" w:line="8" w:lineRule="exact"/>
        <w:rPr>
          <w:rFonts w:ascii="Arial" w:cs="Arial" w:eastAsia="Arial" w:hAnsi="Arial"/>
          <w:sz w:val="21"/>
          <w:szCs w:val="21"/>
          <w:color w:val="auto"/>
          <w:vertAlign w:val="superscript"/>
        </w:rPr>
      </w:pPr>
    </w:p>
    <w:p>
      <w:pPr>
        <w:ind w:left="180" w:hanging="174"/>
        <w:spacing w:after="0" w:line="219"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Excludes amortization, restructuring charges, special items, and unallocated corporate expenses.</w:t>
      </w:r>
    </w:p>
    <w:p>
      <w:pPr>
        <w:spacing w:after="0" w:line="9" w:lineRule="exact"/>
        <w:rPr>
          <w:rFonts w:ascii="Arial" w:cs="Arial" w:eastAsia="Arial" w:hAnsi="Arial"/>
          <w:sz w:val="21"/>
          <w:szCs w:val="21"/>
          <w:color w:val="auto"/>
          <w:vertAlign w:val="superscript"/>
        </w:rPr>
      </w:pPr>
    </w:p>
    <w:p>
      <w:pPr>
        <w:ind w:left="180" w:hanging="174"/>
        <w:spacing w:after="0" w:line="219"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Adjusted operating income and margin increased primarily driven by organic growth, despite the impact from adverse weather.</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 March 31, 2026</w:t>
            </w: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1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Requisition</w:t>
            </w:r>
          </w:p>
        </w:tc>
        <w:tc>
          <w:tcPr>
            <w:tcW w:w="1740" w:type="dxa"/>
            <w:vAlign w:val="bottom"/>
          </w:tcPr>
          <w:p>
            <w:pPr>
              <w:jc w:val="right"/>
              <w:ind w:right="390"/>
              <w:spacing w:after="0"/>
              <w:rPr>
                <w:sz w:val="20"/>
                <w:szCs w:val="20"/>
                <w:color w:val="auto"/>
              </w:rPr>
            </w:pPr>
            <w:r>
              <w:rPr>
                <w:rFonts w:ascii="Arial" w:cs="Arial" w:eastAsia="Arial" w:hAnsi="Arial"/>
                <w:sz w:val="18"/>
                <w:szCs w:val="18"/>
                <w:b w:val="1"/>
                <w:bCs w:val="1"/>
                <w:color w:val="auto"/>
              </w:rPr>
              <w:t>Price/Mix</w:t>
            </w:r>
          </w:p>
        </w:tc>
        <w:tc>
          <w:tcPr>
            <w:tcW w:w="0" w:type="dxa"/>
            <w:vAlign w:val="bottom"/>
          </w:tcPr>
          <w:p>
            <w:pPr>
              <w:spacing w:after="0"/>
              <w:rPr>
                <w:sz w:val="1"/>
                <w:szCs w:val="1"/>
                <w:color w:val="auto"/>
              </w:rPr>
            </w:pPr>
          </w:p>
        </w:tc>
      </w:tr>
      <w:tr>
        <w:trPr>
          <w:trHeight w:val="235"/>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Metrics Summary</w:t>
            </w:r>
          </w:p>
        </w:tc>
        <w:tc>
          <w:tcPr>
            <w:tcW w:w="2100" w:type="dxa"/>
            <w:vAlign w:val="bottom"/>
            <w:gridSpan w:val="2"/>
          </w:tcPr>
          <w:p>
            <w:pPr>
              <w:jc w:val="right"/>
              <w:ind w:right="560"/>
              <w:spacing w:after="0" w:line="235" w:lineRule="exact"/>
              <w:rPr>
                <w:sz w:val="20"/>
                <w:szCs w:val="20"/>
                <w:color w:val="auto"/>
              </w:rPr>
            </w:pPr>
            <w:r>
              <w:rPr>
                <w:rFonts w:ascii="Arial" w:cs="Arial" w:eastAsia="Arial" w:hAnsi="Arial"/>
                <w:sz w:val="18"/>
                <w:szCs w:val="18"/>
                <w:b w:val="1"/>
                <w:bCs w:val="1"/>
                <w:color w:val="auto"/>
              </w:rPr>
              <w:t xml:space="preserve">Volume Delta </w:t>
            </w:r>
            <w:r>
              <w:rPr>
                <w:rFonts w:ascii="Arial" w:cs="Arial" w:eastAsia="Arial" w:hAnsi="Arial"/>
                <w:sz w:val="23"/>
                <w:szCs w:val="23"/>
                <w:b w:val="1"/>
                <w:bCs w:val="1"/>
                <w:color w:val="auto"/>
                <w:vertAlign w:val="superscript"/>
              </w:rPr>
              <w:t>(4)</w:t>
            </w:r>
          </w:p>
        </w:tc>
        <w:tc>
          <w:tcPr>
            <w:tcW w:w="1740" w:type="dxa"/>
            <w:vAlign w:val="bottom"/>
          </w:tcPr>
          <w:p>
            <w:pPr>
              <w:jc w:val="right"/>
              <w:ind w:right="470"/>
              <w:spacing w:after="0" w:line="235" w:lineRule="exact"/>
              <w:rPr>
                <w:sz w:val="20"/>
                <w:szCs w:val="20"/>
                <w:color w:val="auto"/>
              </w:rPr>
            </w:pPr>
            <w:r>
              <w:rPr>
                <w:rFonts w:ascii="Arial" w:cs="Arial" w:eastAsia="Arial" w:hAnsi="Arial"/>
                <w:sz w:val="18"/>
                <w:szCs w:val="18"/>
                <w:b w:val="1"/>
                <w:bCs w:val="1"/>
                <w:color w:val="auto"/>
              </w:rPr>
              <w:t xml:space="preserve">Delta </w:t>
            </w:r>
            <w:r>
              <w:rPr>
                <w:rFonts w:ascii="Arial" w:cs="Arial" w:eastAsia="Arial" w:hAnsi="Arial"/>
                <w:sz w:val="23"/>
                <w:szCs w:val="23"/>
                <w:b w:val="1"/>
                <w:bCs w:val="1"/>
                <w:color w:val="auto"/>
                <w:vertAlign w:val="superscript"/>
              </w:rPr>
              <w:t>(4)</w:t>
            </w:r>
          </w:p>
        </w:tc>
        <w:tc>
          <w:tcPr>
            <w:tcW w:w="0" w:type="dxa"/>
            <w:vAlign w:val="bottom"/>
          </w:tcPr>
          <w:p>
            <w:pPr>
              <w:spacing w:after="0"/>
              <w:rPr>
                <w:sz w:val="1"/>
                <w:szCs w:val="1"/>
                <w:color w:val="auto"/>
              </w:rPr>
            </w:pPr>
          </w:p>
        </w:tc>
      </w:tr>
      <w:tr>
        <w:trPr>
          <w:trHeight w:val="169"/>
        </w:trPr>
        <w:tc>
          <w:tcPr>
            <w:tcW w:w="7360" w:type="dxa"/>
            <w:vAlign w:val="bottom"/>
            <w:gridSpan w:val="2"/>
            <w:vMerge w:val="continue"/>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w:t>
            </w:r>
          </w:p>
        </w:tc>
        <w:tc>
          <w:tcPr>
            <w:tcW w:w="58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2.5 %</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Organic </w:t>
            </w:r>
            <w:r>
              <w:rPr>
                <w:rFonts w:ascii="Arial" w:cs="Arial" w:eastAsia="Arial" w:hAnsi="Arial"/>
                <w:sz w:val="23"/>
                <w:szCs w:val="23"/>
                <w:color w:val="auto"/>
                <w:vertAlign w:val="superscript"/>
              </w:rPr>
              <w:t>(5)</w:t>
            </w:r>
          </w:p>
        </w:tc>
        <w:tc>
          <w:tcPr>
            <w:tcW w:w="2100" w:type="dxa"/>
            <w:vAlign w:val="bottom"/>
            <w:gridSpan w:val="2"/>
          </w:tcPr>
          <w:p>
            <w:pPr>
              <w:jc w:val="right"/>
              <w:ind w:right="180"/>
              <w:spacing w:after="0" w:line="229" w:lineRule="exact"/>
              <w:rPr>
                <w:sz w:val="20"/>
                <w:szCs w:val="20"/>
                <w:color w:val="auto"/>
              </w:rPr>
            </w:pPr>
            <w:r>
              <w:rPr>
                <w:rFonts w:ascii="Arial" w:cs="Arial" w:eastAsia="Arial" w:hAnsi="Arial"/>
                <w:sz w:val="18"/>
                <w:szCs w:val="18"/>
                <w:color w:val="auto"/>
              </w:rPr>
              <w:t xml:space="preserve">1.1 % </w:t>
            </w:r>
            <w:r>
              <w:rPr>
                <w:rFonts w:ascii="Arial" w:cs="Arial" w:eastAsia="Arial" w:hAnsi="Arial"/>
                <w:sz w:val="25"/>
                <w:szCs w:val="25"/>
                <w:color w:val="auto"/>
                <w:vertAlign w:val="superscript"/>
              </w:rPr>
              <w:t>(6)</w:t>
            </w:r>
          </w:p>
        </w:tc>
        <w:tc>
          <w:tcPr>
            <w:tcW w:w="17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Acquisitions, net of Divestitures</w:t>
            </w:r>
          </w:p>
        </w:tc>
        <w:tc>
          <w:tcPr>
            <w:tcW w:w="1760" w:type="dxa"/>
            <w:vAlign w:val="bottom"/>
          </w:tcPr>
          <w:p>
            <w:pPr>
              <w:jc w:val="right"/>
              <w:spacing w:after="0"/>
              <w:rPr>
                <w:sz w:val="20"/>
                <w:szCs w:val="20"/>
                <w:color w:val="auto"/>
              </w:rPr>
            </w:pPr>
            <w:r>
              <w:rPr>
                <w:rFonts w:ascii="Arial" w:cs="Arial" w:eastAsia="Arial" w:hAnsi="Arial"/>
                <w:sz w:val="18"/>
                <w:szCs w:val="18"/>
                <w:color w:val="auto"/>
              </w:rPr>
              <w:t>1.4 %</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Foreign Exchange</w:t>
            </w:r>
          </w:p>
        </w:tc>
        <w:tc>
          <w:tcPr>
            <w:tcW w:w="2100" w:type="dxa"/>
            <w:vAlign w:val="bottom"/>
            <w:gridSpan w:val="2"/>
          </w:tcPr>
          <w:p>
            <w:pPr>
              <w:jc w:val="right"/>
              <w:ind w:right="360"/>
              <w:spacing w:after="0"/>
              <w:rPr>
                <w:sz w:val="20"/>
                <w:szCs w:val="20"/>
                <w:color w:val="auto"/>
              </w:rPr>
            </w:pPr>
            <w:r>
              <w:rPr>
                <w:rFonts w:ascii="Arial" w:cs="Arial" w:eastAsia="Arial" w:hAnsi="Arial"/>
                <w:sz w:val="18"/>
                <w:szCs w:val="18"/>
                <w:color w:val="auto"/>
              </w:rPr>
              <w:t>— %</w:t>
            </w:r>
          </w:p>
        </w:tc>
        <w:tc>
          <w:tcPr>
            <w:tcW w:w="174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00" w:hanging="194"/>
        <w:spacing w:after="0"/>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Column shows changes versus the three months ended March 31, 2025.</w:t>
      </w:r>
    </w:p>
    <w:p>
      <w:pPr>
        <w:spacing w:after="0" w:line="8" w:lineRule="exact"/>
        <w:rPr>
          <w:rFonts w:ascii="Arial" w:cs="Arial" w:eastAsia="Arial" w:hAnsi="Arial"/>
          <w:sz w:val="23"/>
          <w:szCs w:val="23"/>
          <w:color w:val="auto"/>
          <w:vertAlign w:val="superscript"/>
        </w:rPr>
      </w:pPr>
    </w:p>
    <w:p>
      <w:pPr>
        <w:ind w:left="200" w:hanging="194"/>
        <w:spacing w:after="0" w:line="200" w:lineRule="auto"/>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Organic price/mix includes lab management agreements.</w:t>
      </w:r>
    </w:p>
    <w:p>
      <w:pPr>
        <w:spacing w:after="0" w:line="9" w:lineRule="exact"/>
        <w:rPr>
          <w:rFonts w:ascii="Arial" w:cs="Arial" w:eastAsia="Arial" w:hAnsi="Arial"/>
          <w:sz w:val="23"/>
          <w:szCs w:val="23"/>
          <w:color w:val="auto"/>
          <w:vertAlign w:val="superscript"/>
        </w:rPr>
      </w:pPr>
    </w:p>
    <w:p>
      <w:pPr>
        <w:ind w:left="200" w:hanging="194"/>
        <w:spacing w:after="0" w:line="200" w:lineRule="auto"/>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the impact from adverse weather.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1398" w:right="33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25"/>
          <w:szCs w:val="25"/>
          <w:b w:val="1"/>
          <w:bCs w:val="1"/>
          <w:color w:val="auto"/>
        </w:rPr>
        <w:t>LABCORP HOLDINGS INC. AND SUBSIDIARIES</w:t>
      </w:r>
    </w:p>
    <w:p>
      <w:pPr>
        <w:spacing w:after="0" w:line="36"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Biopharma Laboratory Services Segment Summary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2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Revenue Summary </w:t>
            </w:r>
            <w:r>
              <w:rPr>
                <w:rFonts w:ascii="Arial" w:cs="Arial" w:eastAsia="Arial" w:hAnsi="Arial"/>
                <w:sz w:val="18"/>
                <w:szCs w:val="18"/>
                <w:color w:val="auto"/>
              </w:rPr>
              <w:t>(Dollars in millions)</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Delta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 xml:space="preserve">8.2 % </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42"/>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Revenue</w:t>
            </w:r>
          </w:p>
        </w:tc>
        <w:tc>
          <w:tcPr>
            <w:tcW w:w="5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780.6</w:t>
            </w:r>
          </w:p>
        </w:tc>
        <w:tc>
          <w:tcPr>
            <w:tcW w:w="3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721.3</w:t>
            </w:r>
          </w:p>
        </w:tc>
        <w:tc>
          <w:tcPr>
            <w:tcW w:w="12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2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720" w:type="dxa"/>
            <w:vAlign w:val="bottom"/>
            <w:gridSpan w:val="2"/>
          </w:tcPr>
          <w:p>
            <w:pPr>
              <w:ind w:left="220"/>
              <w:spacing w:after="0" w:line="232" w:lineRule="exact"/>
              <w:rPr>
                <w:sz w:val="20"/>
                <w:szCs w:val="20"/>
                <w:color w:val="auto"/>
              </w:rPr>
            </w:pPr>
            <w:r>
              <w:rPr>
                <w:rFonts w:ascii="Arial" w:cs="Arial" w:eastAsia="Arial" w:hAnsi="Arial"/>
                <w:sz w:val="18"/>
                <w:szCs w:val="18"/>
                <w:color w:val="auto"/>
              </w:rPr>
              <w:t>Acquisitions, net of Divestitures</w:t>
            </w:r>
            <w:r>
              <w:rPr>
                <w:rFonts w:ascii="Arial" w:cs="Arial" w:eastAsia="Arial" w:hAnsi="Arial"/>
                <w:sz w:val="23"/>
                <w:szCs w:val="23"/>
                <w:color w:val="auto"/>
                <w:vertAlign w:val="superscript"/>
              </w:rPr>
              <w:t>(3)</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80" w:hanging="174"/>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Central Labs revenue growth of 11.3% and Early Development revenue growth of 0.6%.</w:t>
      </w:r>
    </w:p>
    <w:p>
      <w:pPr>
        <w:spacing w:after="0" w:line="8" w:lineRule="exact"/>
        <w:rPr>
          <w:rFonts w:ascii="Arial" w:cs="Arial" w:eastAsia="Arial" w:hAnsi="Arial"/>
          <w:sz w:val="21"/>
          <w:szCs w:val="21"/>
          <w:color w:val="auto"/>
          <w:vertAlign w:val="superscript"/>
        </w:rPr>
      </w:pPr>
    </w:p>
    <w:p>
      <w:pPr>
        <w:ind w:left="180" w:hanging="174"/>
        <w:spacing w:after="0" w:line="219" w:lineRule="auto"/>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Excludes the impact from acquisitions, divestitures, and currency, as well as other strategic actions taken in Early Development.</w:t>
      </w:r>
    </w:p>
    <w:p>
      <w:pPr>
        <w:spacing w:after="0" w:line="9" w:lineRule="exact"/>
        <w:rPr>
          <w:rFonts w:ascii="Arial" w:cs="Arial" w:eastAsia="Arial" w:hAnsi="Arial"/>
          <w:sz w:val="21"/>
          <w:szCs w:val="21"/>
          <w:color w:val="auto"/>
          <w:vertAlign w:val="superscript"/>
        </w:rPr>
      </w:pPr>
    </w:p>
    <w:p>
      <w:pPr>
        <w:ind w:left="200" w:hanging="194"/>
        <w:spacing w:after="0" w:line="200" w:lineRule="auto"/>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Includes the impact from strategic actions taken in Early Development.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Earnings Summary </w:t>
            </w:r>
            <w:r>
              <w:rPr>
                <w:rFonts w:ascii="Arial" w:cs="Arial" w:eastAsia="Arial" w:hAnsi="Arial"/>
                <w:sz w:val="23"/>
                <w:szCs w:val="23"/>
                <w:color w:val="auto"/>
                <w:vertAlign w:val="superscript"/>
              </w:rPr>
              <w:t>(4)</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w:t>
            </w:r>
          </w:p>
        </w:tc>
        <w:tc>
          <w:tcPr>
            <w:tcW w:w="1980" w:type="dxa"/>
            <w:vAlign w:val="bottom"/>
          </w:tcPr>
          <w:p>
            <w:pPr>
              <w:spacing w:after="0"/>
              <w:rPr>
                <w:sz w:val="22"/>
                <w:szCs w:val="22"/>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 xml:space="preserve">120.7  </w:t>
            </w:r>
            <w:r>
              <w:rPr>
                <w:rFonts w:ascii="Arial" w:cs="Arial" w:eastAsia="Arial" w:hAnsi="Arial"/>
                <w:sz w:val="23"/>
                <w:szCs w:val="23"/>
                <w:color w:val="auto"/>
                <w:vertAlign w:val="superscript"/>
              </w:rPr>
              <w:t>(6)</w:t>
            </w: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gridSpan w:val="2"/>
          </w:tcPr>
          <w:p>
            <w:pPr>
              <w:spacing w:after="0" w:line="229" w:lineRule="exact"/>
              <w:rPr>
                <w:sz w:val="20"/>
                <w:szCs w:val="20"/>
                <w:color w:val="auto"/>
              </w:rPr>
            </w:pPr>
            <w:r>
              <w:rPr>
                <w:rFonts w:ascii="Arial" w:cs="Arial" w:eastAsia="Arial" w:hAnsi="Arial"/>
                <w:sz w:val="18"/>
                <w:szCs w:val="18"/>
                <w:color w:val="auto"/>
              </w:rPr>
              <w:t xml:space="preserve">Adjusted Operating Income (“AOI”) </w:t>
            </w:r>
            <w:r>
              <w:rPr>
                <w:rFonts w:ascii="Arial" w:cs="Arial" w:eastAsia="Arial" w:hAnsi="Arial"/>
                <w:sz w:val="23"/>
                <w:szCs w:val="23"/>
                <w:color w:val="auto"/>
                <w:vertAlign w:val="superscript"/>
              </w:rPr>
              <w:t>(5)</w:t>
            </w: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vMerge w:val="continue"/>
          </w:tcPr>
          <w:p>
            <w:pPr>
              <w:spacing w:after="0"/>
              <w:rPr>
                <w:sz w:val="19"/>
                <w:szCs w:val="19"/>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106.9</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5080" w:type="dxa"/>
            <w:vAlign w:val="bottom"/>
            <w:gridSpan w:val="2"/>
          </w:tcPr>
          <w:p>
            <w:pPr>
              <w:spacing w:after="0"/>
              <w:rPr>
                <w:sz w:val="20"/>
                <w:szCs w:val="20"/>
                <w:color w:val="auto"/>
              </w:rPr>
            </w:pPr>
            <w:r>
              <w:rPr>
                <w:rFonts w:ascii="Arial" w:cs="Arial" w:eastAsia="Arial" w:hAnsi="Arial"/>
                <w:sz w:val="18"/>
                <w:szCs w:val="18"/>
                <w:color w:val="auto"/>
              </w:rPr>
              <w:t>AOI as % of Revenue</w:t>
            </w:r>
          </w:p>
        </w:tc>
        <w:tc>
          <w:tcPr>
            <w:tcW w:w="19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 xml:space="preserve">15.5 % </w:t>
            </w:r>
            <w:r>
              <w:rPr>
                <w:rFonts w:ascii="Arial" w:cs="Arial" w:eastAsia="Arial" w:hAnsi="Arial"/>
                <w:sz w:val="23"/>
                <w:szCs w:val="23"/>
                <w:color w:val="auto"/>
                <w:vertAlign w:val="superscript"/>
              </w:rPr>
              <w:t>(6)</w:t>
            </w:r>
          </w:p>
        </w:tc>
        <w:tc>
          <w:tcPr>
            <w:tcW w:w="420" w:type="dxa"/>
            <w:vAlign w:val="bottom"/>
          </w:tcPr>
          <w:p>
            <w:pPr>
              <w:spacing w:after="0"/>
              <w:rPr>
                <w:sz w:val="24"/>
                <w:szCs w:val="24"/>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14.8 %</w:t>
            </w:r>
          </w:p>
        </w:tc>
        <w:tc>
          <w:tcPr>
            <w:tcW w:w="920" w:type="dxa"/>
            <w:vAlign w:val="bottom"/>
          </w:tcPr>
          <w:p>
            <w:pPr>
              <w:ind w:left="380"/>
              <w:spacing w:after="0"/>
              <w:rPr>
                <w:sz w:val="20"/>
                <w:szCs w:val="20"/>
                <w:color w:val="auto"/>
              </w:rPr>
            </w:pPr>
            <w:r>
              <w:rPr>
                <w:rFonts w:ascii="Arial" w:cs="Arial" w:eastAsia="Arial" w:hAnsi="Arial"/>
                <w:sz w:val="18"/>
                <w:szCs w:val="18"/>
                <w:i w:val="1"/>
                <w:iCs w:val="1"/>
                <w:color w:val="auto"/>
                <w:w w:val="96"/>
              </w:rPr>
              <w:t>60 bps</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hanging="174"/>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Non-GAAP financial measure. See “Reconciliation of Non-GAAP Measures” for additional information.</w:t>
      </w:r>
    </w:p>
    <w:p>
      <w:pPr>
        <w:spacing w:after="0" w:line="8" w:lineRule="exact"/>
        <w:rPr>
          <w:rFonts w:ascii="Arial" w:cs="Arial" w:eastAsia="Arial" w:hAnsi="Arial"/>
          <w:sz w:val="21"/>
          <w:szCs w:val="21"/>
          <w:color w:val="auto"/>
          <w:vertAlign w:val="superscript"/>
        </w:rPr>
      </w:pPr>
    </w:p>
    <w:p>
      <w:pPr>
        <w:ind w:left="180" w:hanging="174"/>
        <w:spacing w:after="0" w:line="219" w:lineRule="auto"/>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Excludes amortization, restructuring charges, special items, and unallocated corporate expenses.</w:t>
      </w:r>
    </w:p>
    <w:p>
      <w:pPr>
        <w:spacing w:after="0" w:line="9" w:lineRule="exact"/>
        <w:rPr>
          <w:rFonts w:ascii="Arial" w:cs="Arial" w:eastAsia="Arial" w:hAnsi="Arial"/>
          <w:sz w:val="21"/>
          <w:szCs w:val="21"/>
          <w:color w:val="auto"/>
          <w:vertAlign w:val="superscript"/>
        </w:rPr>
      </w:pPr>
    </w:p>
    <w:p>
      <w:pPr>
        <w:ind w:left="180" w:hanging="174"/>
        <w:spacing w:after="0" w:line="219" w:lineRule="auto"/>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Adjusted Operating Income and margin increased driven by growth in Central Labs.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Metrics Summary </w:t>
            </w:r>
            <w:r>
              <w:rPr>
                <w:rFonts w:ascii="Arial" w:cs="Arial" w:eastAsia="Arial" w:hAnsi="Arial"/>
                <w:sz w:val="18"/>
                <w:szCs w:val="18"/>
                <w:color w:val="auto"/>
              </w:rPr>
              <w:t>(Dollars in billions)</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March 31, 2026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TTM Net Orders</w:t>
            </w:r>
          </w:p>
        </w:tc>
        <w:tc>
          <w:tcPr>
            <w:tcW w:w="78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TTM Book to Bill</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w w:val="95"/>
              </w:rPr>
              <w:t>(7)</w:t>
            </w: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8.64</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340" w:type="dxa"/>
            <w:vAlign w:val="bottom"/>
            <w:gridSpan w:val="2"/>
          </w:tcPr>
          <w:p>
            <w:pPr>
              <w:ind w:left="20"/>
              <w:spacing w:after="0"/>
              <w:rPr>
                <w:sz w:val="20"/>
                <w:szCs w:val="20"/>
                <w:color w:val="auto"/>
              </w:rPr>
            </w:pPr>
            <w:r>
              <w:rPr>
                <w:rFonts w:ascii="Arial" w:cs="Arial" w:eastAsia="Arial" w:hAnsi="Arial"/>
                <w:sz w:val="18"/>
                <w:szCs w:val="18"/>
                <w:color w:val="auto"/>
              </w:rPr>
              <w:t>Next Twelve Months Forecast Backlog Conversion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00" w:hanging="194"/>
        <w:spacing w:after="0"/>
        <w:tabs>
          <w:tab w:leader="none" w:pos="20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Backlog increased 5.6% compared to this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40" w:top="1411" w:right="51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Guidance for 2026</w:t>
      </w:r>
    </w:p>
    <w:p>
      <w:pPr>
        <w:spacing w:after="0" w:line="312"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Labcorp is updating 2026 full year guidance to reflect its first quarter performance and full year outlook. The following guidance assumes foreign exchange rates effective as of March 31, 2026. Enterprise level guidance includes the estimated impact from currently anticipated capital allocation, including acquisitions, share repurchases, and dividends.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(Dollars in billions, except per share data)</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gridSpan w:val="6"/>
          </w:tcPr>
          <w:p>
            <w:pPr>
              <w:jc w:val="center"/>
              <w:ind w:right="520"/>
              <w:spacing w:after="0"/>
              <w:rPr>
                <w:sz w:val="20"/>
                <w:szCs w:val="20"/>
                <w:color w:val="auto"/>
              </w:rPr>
            </w:pPr>
            <w:r>
              <w:rPr>
                <w:rFonts w:ascii="Arial" w:cs="Arial" w:eastAsia="Arial" w:hAnsi="Arial"/>
                <w:sz w:val="18"/>
                <w:szCs w:val="18"/>
                <w:b w:val="1"/>
                <w:bCs w:val="1"/>
                <w:i w:val="1"/>
                <w:iCs w:val="1"/>
                <w:color w:val="auto"/>
                <w:w w:val="99"/>
              </w:rPr>
              <w:t>Previous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6"/>
          </w:tcPr>
          <w:p>
            <w:pPr>
              <w:jc w:val="center"/>
              <w:ind w:right="120"/>
              <w:spacing w:after="0"/>
              <w:rPr>
                <w:sz w:val="20"/>
                <w:szCs w:val="20"/>
                <w:color w:val="auto"/>
              </w:rPr>
            </w:pPr>
            <w:r>
              <w:rPr>
                <w:rFonts w:ascii="Arial" w:cs="Arial" w:eastAsia="Arial" w:hAnsi="Arial"/>
                <w:sz w:val="18"/>
                <w:szCs w:val="18"/>
                <w:b w:val="1"/>
                <w:bCs w:val="1"/>
                <w:i w:val="1"/>
                <w:iCs w:val="1"/>
                <w:color w:val="auto"/>
                <w:w w:val="99"/>
              </w:rPr>
              <w:t>Updated</w:t>
            </w:r>
          </w:p>
        </w:tc>
        <w:tc>
          <w:tcPr>
            <w:tcW w:w="0" w:type="dxa"/>
            <w:vAlign w:val="bottom"/>
          </w:tcPr>
          <w:p>
            <w:pPr>
              <w:spacing w:after="0"/>
              <w:rPr>
                <w:sz w:val="1"/>
                <w:szCs w:val="1"/>
                <w:color w:val="auto"/>
              </w:rPr>
            </w:pPr>
          </w:p>
        </w:tc>
      </w:tr>
      <w:tr>
        <w:trPr>
          <w:trHeight w:val="213"/>
        </w:trPr>
        <w:tc>
          <w:tcPr>
            <w:tcW w:w="5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0" w:type="dxa"/>
            <w:vAlign w:val="bottom"/>
            <w:tcBorders>
              <w:bottom w:val="single" w:sz="8" w:color="auto"/>
            </w:tcBorders>
            <w:gridSpan w:val="6"/>
          </w:tcPr>
          <w:p>
            <w:pPr>
              <w:jc w:val="center"/>
              <w:spacing w:after="0" w:line="212" w:lineRule="exact"/>
              <w:rPr>
                <w:sz w:val="20"/>
                <w:szCs w:val="20"/>
                <w:color w:val="auto"/>
              </w:rPr>
            </w:pPr>
            <w:r>
              <w:rPr>
                <w:rFonts w:ascii="Arial" w:cs="Arial" w:eastAsia="Arial" w:hAnsi="Arial"/>
                <w:sz w:val="20"/>
                <w:szCs w:val="20"/>
                <w:b w:val="1"/>
                <w:bCs w:val="1"/>
                <w:color w:val="auto"/>
                <w:w w:val="99"/>
              </w:rPr>
              <w:t>2026 Guidance</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Borders>
              <w:bottom w:val="single" w:sz="8" w:color="auto"/>
            </w:tcBorders>
            <w:gridSpan w:val="6"/>
          </w:tcPr>
          <w:p>
            <w:pPr>
              <w:jc w:val="center"/>
              <w:spacing w:after="0" w:line="212" w:lineRule="exact"/>
              <w:rPr>
                <w:sz w:val="20"/>
                <w:szCs w:val="20"/>
                <w:color w:val="auto"/>
              </w:rPr>
            </w:pPr>
            <w:r>
              <w:rPr>
                <w:rFonts w:ascii="Arial" w:cs="Arial" w:eastAsia="Arial" w:hAnsi="Arial"/>
                <w:sz w:val="20"/>
                <w:szCs w:val="20"/>
                <w:b w:val="1"/>
                <w:bCs w:val="1"/>
                <w:color w:val="auto"/>
                <w:w w:val="99"/>
              </w:rPr>
              <w:t>2026 Guidance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vMerge w:val="restart"/>
          </w:tcPr>
          <w:p>
            <w:pPr>
              <w:spacing w:after="0"/>
              <w:rPr>
                <w:sz w:val="20"/>
                <w:szCs w:val="20"/>
                <w:color w:val="auto"/>
              </w:rPr>
            </w:pPr>
            <w:r>
              <w:rPr>
                <w:rFonts w:ascii="Arial" w:cs="Arial" w:eastAsia="Arial" w:hAnsi="Arial"/>
                <w:sz w:val="20"/>
                <w:szCs w:val="20"/>
                <w:b w:val="1"/>
                <w:bCs w:val="1"/>
                <w:color w:val="auto"/>
              </w:rPr>
              <w:t>Revenue</w:t>
            </w:r>
          </w:p>
        </w:tc>
        <w:tc>
          <w:tcPr>
            <w:tcW w:w="2200" w:type="dxa"/>
            <w:vAlign w:val="bottom"/>
          </w:tcPr>
          <w:p>
            <w:pPr>
              <w:spacing w:after="0"/>
              <w:rPr>
                <w:sz w:val="20"/>
                <w:szCs w:val="20"/>
                <w:color w:val="auto"/>
              </w:rPr>
            </w:pPr>
          </w:p>
        </w:tc>
        <w:tc>
          <w:tcPr>
            <w:tcW w:w="700" w:type="dxa"/>
            <w:vAlign w:val="bottom"/>
            <w:gridSpan w:val="3"/>
          </w:tcPr>
          <w:p>
            <w:pPr>
              <w:ind w:left="60"/>
              <w:spacing w:after="0"/>
              <w:rPr>
                <w:sz w:val="20"/>
                <w:szCs w:val="20"/>
                <w:color w:val="auto"/>
              </w:rPr>
            </w:pPr>
            <w:r>
              <w:rPr>
                <w:rFonts w:ascii="Arial" w:cs="Arial" w:eastAsia="Arial" w:hAnsi="Arial"/>
                <w:sz w:val="20"/>
                <w:szCs w:val="20"/>
                <w:b w:val="1"/>
                <w:bCs w:val="1"/>
                <w:color w:val="auto"/>
              </w:rPr>
              <w:t>Low</w:t>
            </w:r>
          </w:p>
        </w:tc>
        <w:tc>
          <w:tcPr>
            <w:tcW w:w="22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20"/>
                <w:szCs w:val="20"/>
                <w:b w:val="1"/>
                <w:bCs w:val="1"/>
                <w:color w:val="auto"/>
              </w:rPr>
              <w:t>High</w:t>
            </w:r>
          </w:p>
        </w:tc>
        <w:tc>
          <w:tcPr>
            <w:tcW w:w="460" w:type="dxa"/>
            <w:vAlign w:val="bottom"/>
          </w:tcPr>
          <w:p>
            <w:pPr>
              <w:spacing w:after="0"/>
              <w:rPr>
                <w:sz w:val="20"/>
                <w:szCs w:val="20"/>
                <w:color w:val="auto"/>
              </w:rPr>
            </w:pPr>
          </w:p>
        </w:tc>
        <w:tc>
          <w:tcPr>
            <w:tcW w:w="700" w:type="dxa"/>
            <w:vAlign w:val="bottom"/>
            <w:gridSpan w:val="3"/>
          </w:tcPr>
          <w:p>
            <w:pPr>
              <w:ind w:left="60"/>
              <w:spacing w:after="0"/>
              <w:rPr>
                <w:sz w:val="20"/>
                <w:szCs w:val="20"/>
                <w:color w:val="auto"/>
              </w:rPr>
            </w:pPr>
            <w:r>
              <w:rPr>
                <w:rFonts w:ascii="Arial" w:cs="Arial" w:eastAsia="Arial" w:hAnsi="Arial"/>
                <w:sz w:val="20"/>
                <w:szCs w:val="20"/>
                <w:b w:val="1"/>
                <w:bCs w:val="1"/>
                <w:color w:val="auto"/>
              </w:rPr>
              <w:t>Low</w:t>
            </w:r>
          </w:p>
        </w:tc>
        <w:tc>
          <w:tcPr>
            <w:tcW w:w="240" w:type="dxa"/>
            <w:vAlign w:val="bottom"/>
          </w:tcPr>
          <w:p>
            <w:pPr>
              <w:spacing w:after="0"/>
              <w:rPr>
                <w:sz w:val="20"/>
                <w:szCs w:val="20"/>
                <w:color w:val="auto"/>
              </w:rPr>
            </w:pPr>
          </w:p>
        </w:tc>
        <w:tc>
          <w:tcPr>
            <w:tcW w:w="520" w:type="dxa"/>
            <w:vAlign w:val="bottom"/>
            <w:gridSpan w:val="3"/>
          </w:tcPr>
          <w:p>
            <w:pPr>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82"/>
        </w:trPr>
        <w:tc>
          <w:tcPr>
            <w:tcW w:w="514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40" w:type="dxa"/>
            <w:vAlign w:val="bottom"/>
          </w:tcPr>
          <w:p>
            <w:pPr>
              <w:spacing w:after="0" w:line="257" w:lineRule="exact"/>
              <w:rPr>
                <w:sz w:val="20"/>
                <w:szCs w:val="20"/>
                <w:color w:val="auto"/>
              </w:rPr>
            </w:pPr>
            <w:r>
              <w:rPr>
                <w:rFonts w:ascii="Arial" w:cs="Arial" w:eastAsia="Arial" w:hAnsi="Arial"/>
                <w:sz w:val="20"/>
                <w:szCs w:val="20"/>
                <w:color w:val="auto"/>
              </w:rPr>
              <w:t xml:space="preserve">Labcorp Enterprise </w:t>
            </w:r>
            <w:r>
              <w:rPr>
                <w:rFonts w:ascii="Arial" w:cs="Arial" w:eastAsia="Arial" w:hAnsi="Arial"/>
                <w:sz w:val="25"/>
                <w:szCs w:val="25"/>
                <w:color w:val="auto"/>
                <w:vertAlign w:val="superscript"/>
              </w:rPr>
              <w:t>(1)(2)</w:t>
            </w:r>
          </w:p>
        </w:tc>
        <w:tc>
          <w:tcPr>
            <w:tcW w:w="2900" w:type="dxa"/>
            <w:vAlign w:val="bottom"/>
            <w:gridSpan w:val="4"/>
          </w:tcPr>
          <w:p>
            <w:pPr>
              <w:jc w:val="center"/>
              <w:ind w:left="1901"/>
              <w:spacing w:after="0"/>
              <w:rPr>
                <w:sz w:val="20"/>
                <w:szCs w:val="20"/>
                <w:color w:val="auto"/>
              </w:rPr>
            </w:pPr>
            <w:r>
              <w:rPr>
                <w:rFonts w:ascii="Arial" w:cs="Arial" w:eastAsia="Arial" w:hAnsi="Arial"/>
                <w:sz w:val="20"/>
                <w:szCs w:val="20"/>
                <w:color w:val="auto"/>
              </w:rPr>
              <w:t>$14.61</w:t>
            </w:r>
          </w:p>
        </w:tc>
        <w:tc>
          <w:tcPr>
            <w:tcW w:w="1160" w:type="dxa"/>
            <w:vAlign w:val="bottom"/>
            <w:gridSpan w:val="4"/>
          </w:tcPr>
          <w:p>
            <w:pPr>
              <w:jc w:val="center"/>
              <w:ind w:right="280"/>
              <w:spacing w:after="0"/>
              <w:rPr>
                <w:sz w:val="20"/>
                <w:szCs w:val="20"/>
                <w:color w:val="auto"/>
              </w:rPr>
            </w:pPr>
            <w:r>
              <w:rPr>
                <w:rFonts w:ascii="Arial" w:cs="Arial" w:eastAsia="Arial" w:hAnsi="Arial"/>
                <w:sz w:val="20"/>
                <w:szCs w:val="20"/>
                <w:color w:val="auto"/>
                <w:w w:val="98"/>
              </w:rPr>
              <w:t>$14.79</w:t>
            </w:r>
          </w:p>
        </w:tc>
        <w:tc>
          <w:tcPr>
            <w:tcW w:w="1160" w:type="dxa"/>
            <w:vAlign w:val="bottom"/>
            <w:gridSpan w:val="4"/>
          </w:tcPr>
          <w:p>
            <w:pPr>
              <w:jc w:val="center"/>
              <w:ind w:left="161"/>
              <w:spacing w:after="0"/>
              <w:rPr>
                <w:sz w:val="20"/>
                <w:szCs w:val="20"/>
                <w:color w:val="auto"/>
              </w:rPr>
            </w:pPr>
            <w:r>
              <w:rPr>
                <w:rFonts w:ascii="Arial" w:cs="Arial" w:eastAsia="Arial" w:hAnsi="Arial"/>
                <w:sz w:val="20"/>
                <w:szCs w:val="20"/>
                <w:color w:val="auto"/>
              </w:rPr>
              <w:t>$14.65</w:t>
            </w:r>
          </w:p>
        </w:tc>
        <w:tc>
          <w:tcPr>
            <w:tcW w:w="760" w:type="dxa"/>
            <w:vAlign w:val="bottom"/>
            <w:gridSpan w:val="4"/>
          </w:tcPr>
          <w:p>
            <w:pPr>
              <w:jc w:val="center"/>
              <w:ind w:left="61"/>
              <w:spacing w:after="0"/>
              <w:rPr>
                <w:sz w:val="20"/>
                <w:szCs w:val="20"/>
                <w:color w:val="auto"/>
              </w:rPr>
            </w:pPr>
            <w:r>
              <w:rPr>
                <w:rFonts w:ascii="Arial" w:cs="Arial" w:eastAsia="Arial" w:hAnsi="Arial"/>
                <w:sz w:val="20"/>
                <w:szCs w:val="20"/>
                <w:color w:val="auto"/>
                <w:w w:val="98"/>
              </w:rPr>
              <w:t>$14.80</w:t>
            </w:r>
          </w:p>
        </w:tc>
        <w:tc>
          <w:tcPr>
            <w:tcW w:w="0" w:type="dxa"/>
            <w:vAlign w:val="bottom"/>
          </w:tcPr>
          <w:p>
            <w:pPr>
              <w:spacing w:after="0"/>
              <w:rPr>
                <w:sz w:val="1"/>
                <w:szCs w:val="1"/>
                <w:color w:val="auto"/>
              </w:rPr>
            </w:pPr>
          </w:p>
        </w:tc>
      </w:tr>
      <w:tr>
        <w:trPr>
          <w:trHeight w:val="307"/>
        </w:trPr>
        <w:tc>
          <w:tcPr>
            <w:tcW w:w="5140" w:type="dxa"/>
            <w:vAlign w:val="bottom"/>
          </w:tcPr>
          <w:p>
            <w:pPr>
              <w:spacing w:after="0"/>
              <w:rPr>
                <w:sz w:val="20"/>
                <w:szCs w:val="20"/>
                <w:color w:val="auto"/>
              </w:rPr>
            </w:pPr>
            <w:r>
              <w:rPr>
                <w:rFonts w:ascii="Arial" w:cs="Arial" w:eastAsia="Arial" w:hAnsi="Arial"/>
                <w:sz w:val="16"/>
                <w:szCs w:val="16"/>
                <w:i w:val="1"/>
                <w:iCs w:val="1"/>
                <w:color w:val="auto"/>
              </w:rPr>
              <w:t xml:space="preserve">Growth </w:t>
            </w:r>
            <w:r>
              <w:rPr>
                <w:rFonts w:ascii="Arial" w:cs="Arial" w:eastAsia="Arial" w:hAnsi="Arial"/>
                <w:sz w:val="21"/>
                <w:szCs w:val="21"/>
                <w:i w:val="1"/>
                <w:iCs w:val="1"/>
                <w:color w:val="auto"/>
                <w:vertAlign w:val="superscript"/>
              </w:rPr>
              <w:t>(3)</w:t>
            </w:r>
          </w:p>
        </w:tc>
        <w:tc>
          <w:tcPr>
            <w:tcW w:w="2900" w:type="dxa"/>
            <w:vAlign w:val="bottom"/>
            <w:gridSpan w:val="4"/>
          </w:tcPr>
          <w:p>
            <w:pPr>
              <w:jc w:val="center"/>
              <w:ind w:left="1901"/>
              <w:spacing w:after="0"/>
              <w:rPr>
                <w:sz w:val="20"/>
                <w:szCs w:val="20"/>
                <w:color w:val="auto"/>
              </w:rPr>
            </w:pPr>
            <w:r>
              <w:rPr>
                <w:rFonts w:ascii="Arial" w:cs="Arial" w:eastAsia="Arial" w:hAnsi="Arial"/>
                <w:sz w:val="20"/>
                <w:szCs w:val="20"/>
                <w:color w:val="auto"/>
              </w:rPr>
              <w:t>4.7%</w:t>
            </w:r>
          </w:p>
        </w:tc>
        <w:tc>
          <w:tcPr>
            <w:tcW w:w="700" w:type="dxa"/>
            <w:vAlign w:val="bottom"/>
            <w:gridSpan w:val="3"/>
          </w:tcPr>
          <w:p>
            <w:pPr>
              <w:jc w:val="center"/>
              <w:ind w:left="81"/>
              <w:spacing w:after="0"/>
              <w:rPr>
                <w:sz w:val="20"/>
                <w:szCs w:val="20"/>
                <w:color w:val="auto"/>
              </w:rPr>
            </w:pPr>
            <w:r>
              <w:rPr>
                <w:rFonts w:ascii="Arial" w:cs="Arial" w:eastAsia="Arial" w:hAnsi="Arial"/>
                <w:sz w:val="20"/>
                <w:szCs w:val="20"/>
                <w:color w:val="auto"/>
                <w:w w:val="96"/>
              </w:rPr>
              <w:t>6.0%</w:t>
            </w:r>
          </w:p>
        </w:tc>
        <w:tc>
          <w:tcPr>
            <w:tcW w:w="460" w:type="dxa"/>
            <w:vAlign w:val="bottom"/>
          </w:tcPr>
          <w:p>
            <w:pPr>
              <w:spacing w:after="0"/>
              <w:rPr>
                <w:sz w:val="24"/>
                <w:szCs w:val="24"/>
                <w:color w:val="auto"/>
              </w:rPr>
            </w:pPr>
          </w:p>
        </w:tc>
        <w:tc>
          <w:tcPr>
            <w:tcW w:w="1160" w:type="dxa"/>
            <w:vAlign w:val="bottom"/>
            <w:gridSpan w:val="4"/>
          </w:tcPr>
          <w:p>
            <w:pPr>
              <w:jc w:val="center"/>
              <w:ind w:left="161"/>
              <w:spacing w:after="0"/>
              <w:rPr>
                <w:sz w:val="20"/>
                <w:szCs w:val="20"/>
                <w:color w:val="auto"/>
              </w:rPr>
            </w:pPr>
            <w:r>
              <w:rPr>
                <w:rFonts w:ascii="Arial" w:cs="Arial" w:eastAsia="Arial" w:hAnsi="Arial"/>
                <w:sz w:val="20"/>
                <w:szCs w:val="20"/>
                <w:color w:val="auto"/>
              </w:rPr>
              <w:t>5.0%</w:t>
            </w:r>
          </w:p>
        </w:tc>
        <w:tc>
          <w:tcPr>
            <w:tcW w:w="700" w:type="dxa"/>
            <w:vAlign w:val="bottom"/>
            <w:gridSpan w:val="3"/>
          </w:tcPr>
          <w:p>
            <w:pPr>
              <w:jc w:val="center"/>
              <w:ind w:left="121"/>
              <w:spacing w:after="0"/>
              <w:rPr>
                <w:sz w:val="20"/>
                <w:szCs w:val="20"/>
                <w:color w:val="auto"/>
              </w:rPr>
            </w:pPr>
            <w:r>
              <w:rPr>
                <w:rFonts w:ascii="Arial" w:cs="Arial" w:eastAsia="Arial" w:hAnsi="Arial"/>
                <w:sz w:val="20"/>
                <w:szCs w:val="20"/>
                <w:color w:val="auto"/>
                <w:w w:val="96"/>
              </w:rPr>
              <w:t>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140" w:type="dxa"/>
            <w:vAlign w:val="bottom"/>
          </w:tcPr>
          <w:p>
            <w:pPr>
              <w:spacing w:after="0"/>
              <w:rPr>
                <w:sz w:val="20"/>
                <w:szCs w:val="20"/>
                <w:color w:val="auto"/>
              </w:rPr>
            </w:pPr>
            <w:r>
              <w:rPr>
                <w:rFonts w:ascii="Arial" w:cs="Arial" w:eastAsia="Arial" w:hAnsi="Arial"/>
                <w:sz w:val="20"/>
                <w:szCs w:val="20"/>
                <w:color w:val="auto"/>
              </w:rPr>
              <w:t>Diagnostics Laboratories</w:t>
            </w:r>
          </w:p>
        </w:tc>
        <w:tc>
          <w:tcPr>
            <w:tcW w:w="2900" w:type="dxa"/>
            <w:vAlign w:val="bottom"/>
            <w:gridSpan w:val="4"/>
          </w:tcPr>
          <w:p>
            <w:pPr>
              <w:jc w:val="center"/>
              <w:ind w:left="1901"/>
              <w:spacing w:after="0"/>
              <w:rPr>
                <w:sz w:val="20"/>
                <w:szCs w:val="20"/>
                <w:color w:val="auto"/>
              </w:rPr>
            </w:pPr>
            <w:r>
              <w:rPr>
                <w:rFonts w:ascii="Arial" w:cs="Arial" w:eastAsia="Arial" w:hAnsi="Arial"/>
                <w:sz w:val="20"/>
                <w:szCs w:val="20"/>
                <w:color w:val="auto"/>
                <w:w w:val="94"/>
              </w:rPr>
              <w:t>$11.42</w:t>
            </w:r>
          </w:p>
        </w:tc>
        <w:tc>
          <w:tcPr>
            <w:tcW w:w="1160" w:type="dxa"/>
            <w:vAlign w:val="bottom"/>
            <w:gridSpan w:val="4"/>
          </w:tcPr>
          <w:p>
            <w:pPr>
              <w:jc w:val="center"/>
              <w:ind w:right="280"/>
              <w:spacing w:after="0"/>
              <w:rPr>
                <w:sz w:val="20"/>
                <w:szCs w:val="20"/>
                <w:color w:val="auto"/>
              </w:rPr>
            </w:pPr>
            <w:r>
              <w:rPr>
                <w:rFonts w:ascii="Arial" w:cs="Arial" w:eastAsia="Arial" w:hAnsi="Arial"/>
                <w:sz w:val="20"/>
                <w:szCs w:val="20"/>
                <w:color w:val="auto"/>
                <w:w w:val="98"/>
              </w:rPr>
              <w:t>$11.53</w:t>
            </w:r>
          </w:p>
        </w:tc>
        <w:tc>
          <w:tcPr>
            <w:tcW w:w="1160" w:type="dxa"/>
            <w:vAlign w:val="bottom"/>
            <w:gridSpan w:val="4"/>
          </w:tcPr>
          <w:p>
            <w:pPr>
              <w:jc w:val="center"/>
              <w:ind w:left="161"/>
              <w:spacing w:after="0"/>
              <w:rPr>
                <w:sz w:val="20"/>
                <w:szCs w:val="20"/>
                <w:color w:val="auto"/>
              </w:rPr>
            </w:pPr>
            <w:r>
              <w:rPr>
                <w:rFonts w:ascii="Arial" w:cs="Arial" w:eastAsia="Arial" w:hAnsi="Arial"/>
                <w:sz w:val="20"/>
                <w:szCs w:val="20"/>
                <w:color w:val="auto"/>
                <w:w w:val="94"/>
              </w:rPr>
              <w:t>$11.43</w:t>
            </w:r>
          </w:p>
        </w:tc>
        <w:tc>
          <w:tcPr>
            <w:tcW w:w="760" w:type="dxa"/>
            <w:vAlign w:val="bottom"/>
            <w:gridSpan w:val="4"/>
          </w:tcPr>
          <w:p>
            <w:pPr>
              <w:jc w:val="center"/>
              <w:ind w:left="61"/>
              <w:spacing w:after="0"/>
              <w:rPr>
                <w:sz w:val="20"/>
                <w:szCs w:val="20"/>
                <w:color w:val="auto"/>
              </w:rPr>
            </w:pPr>
            <w:r>
              <w:rPr>
                <w:rFonts w:ascii="Arial" w:cs="Arial" w:eastAsia="Arial" w:hAnsi="Arial"/>
                <w:sz w:val="20"/>
                <w:szCs w:val="20"/>
                <w:color w:val="auto"/>
                <w:w w:val="98"/>
              </w:rPr>
              <w:t>$11.52</w:t>
            </w:r>
          </w:p>
        </w:tc>
        <w:tc>
          <w:tcPr>
            <w:tcW w:w="0" w:type="dxa"/>
            <w:vAlign w:val="bottom"/>
          </w:tcPr>
          <w:p>
            <w:pPr>
              <w:spacing w:after="0"/>
              <w:rPr>
                <w:sz w:val="1"/>
                <w:szCs w:val="1"/>
                <w:color w:val="auto"/>
              </w:rPr>
            </w:pPr>
          </w:p>
        </w:tc>
      </w:tr>
      <w:tr>
        <w:trPr>
          <w:trHeight w:val="307"/>
        </w:trPr>
        <w:tc>
          <w:tcPr>
            <w:tcW w:w="5140" w:type="dxa"/>
            <w:vAlign w:val="bottom"/>
          </w:tcPr>
          <w:p>
            <w:pPr>
              <w:spacing w:after="0"/>
              <w:rPr>
                <w:sz w:val="20"/>
                <w:szCs w:val="20"/>
                <w:color w:val="auto"/>
              </w:rPr>
            </w:pPr>
            <w:r>
              <w:rPr>
                <w:rFonts w:ascii="Arial" w:cs="Arial" w:eastAsia="Arial" w:hAnsi="Arial"/>
                <w:sz w:val="16"/>
                <w:szCs w:val="16"/>
                <w:i w:val="1"/>
                <w:iCs w:val="1"/>
                <w:color w:val="auto"/>
              </w:rPr>
              <w:t xml:space="preserve">Growth </w:t>
            </w:r>
            <w:r>
              <w:rPr>
                <w:rFonts w:ascii="Arial" w:cs="Arial" w:eastAsia="Arial" w:hAnsi="Arial"/>
                <w:sz w:val="21"/>
                <w:szCs w:val="21"/>
                <w:i w:val="1"/>
                <w:iCs w:val="1"/>
                <w:color w:val="auto"/>
                <w:vertAlign w:val="superscript"/>
              </w:rPr>
              <w:t>(3)</w:t>
            </w:r>
          </w:p>
        </w:tc>
        <w:tc>
          <w:tcPr>
            <w:tcW w:w="2900" w:type="dxa"/>
            <w:vAlign w:val="bottom"/>
            <w:gridSpan w:val="4"/>
          </w:tcPr>
          <w:p>
            <w:pPr>
              <w:jc w:val="center"/>
              <w:ind w:left="1901"/>
              <w:spacing w:after="0"/>
              <w:rPr>
                <w:sz w:val="20"/>
                <w:szCs w:val="20"/>
                <w:color w:val="auto"/>
              </w:rPr>
            </w:pPr>
            <w:r>
              <w:rPr>
                <w:rFonts w:ascii="Arial" w:cs="Arial" w:eastAsia="Arial" w:hAnsi="Arial"/>
                <w:sz w:val="20"/>
                <w:szCs w:val="20"/>
                <w:color w:val="auto"/>
              </w:rPr>
              <w:t>5.0%</w:t>
            </w:r>
          </w:p>
        </w:tc>
        <w:tc>
          <w:tcPr>
            <w:tcW w:w="700" w:type="dxa"/>
            <w:vAlign w:val="bottom"/>
            <w:gridSpan w:val="3"/>
          </w:tcPr>
          <w:p>
            <w:pPr>
              <w:jc w:val="center"/>
              <w:ind w:left="81"/>
              <w:spacing w:after="0"/>
              <w:rPr>
                <w:sz w:val="20"/>
                <w:szCs w:val="20"/>
                <w:color w:val="auto"/>
              </w:rPr>
            </w:pPr>
            <w:r>
              <w:rPr>
                <w:rFonts w:ascii="Arial" w:cs="Arial" w:eastAsia="Arial" w:hAnsi="Arial"/>
                <w:sz w:val="20"/>
                <w:szCs w:val="20"/>
                <w:color w:val="auto"/>
                <w:w w:val="96"/>
              </w:rPr>
              <w:t>6.0%</w:t>
            </w:r>
          </w:p>
        </w:tc>
        <w:tc>
          <w:tcPr>
            <w:tcW w:w="460" w:type="dxa"/>
            <w:vAlign w:val="bottom"/>
          </w:tcPr>
          <w:p>
            <w:pPr>
              <w:spacing w:after="0"/>
              <w:rPr>
                <w:sz w:val="24"/>
                <w:szCs w:val="24"/>
                <w:color w:val="auto"/>
              </w:rPr>
            </w:pPr>
          </w:p>
        </w:tc>
        <w:tc>
          <w:tcPr>
            <w:tcW w:w="1160" w:type="dxa"/>
            <w:vAlign w:val="bottom"/>
            <w:gridSpan w:val="4"/>
          </w:tcPr>
          <w:p>
            <w:pPr>
              <w:jc w:val="center"/>
              <w:ind w:left="161"/>
              <w:spacing w:after="0"/>
              <w:rPr>
                <w:sz w:val="20"/>
                <w:szCs w:val="20"/>
                <w:color w:val="auto"/>
              </w:rPr>
            </w:pPr>
            <w:r>
              <w:rPr>
                <w:rFonts w:ascii="Arial" w:cs="Arial" w:eastAsia="Arial" w:hAnsi="Arial"/>
                <w:sz w:val="20"/>
                <w:szCs w:val="20"/>
                <w:color w:val="auto"/>
              </w:rPr>
              <w:t>5.1%</w:t>
            </w:r>
          </w:p>
        </w:tc>
        <w:tc>
          <w:tcPr>
            <w:tcW w:w="700" w:type="dxa"/>
            <w:vAlign w:val="bottom"/>
            <w:gridSpan w:val="3"/>
          </w:tcPr>
          <w:p>
            <w:pPr>
              <w:jc w:val="center"/>
              <w:ind w:left="121"/>
              <w:spacing w:after="0"/>
              <w:rPr>
                <w:sz w:val="20"/>
                <w:szCs w:val="20"/>
                <w:color w:val="auto"/>
              </w:rPr>
            </w:pPr>
            <w:r>
              <w:rPr>
                <w:rFonts w:ascii="Arial" w:cs="Arial" w:eastAsia="Arial" w:hAnsi="Arial"/>
                <w:sz w:val="20"/>
                <w:szCs w:val="20"/>
                <w:color w:val="auto"/>
                <w:w w:val="96"/>
              </w:rPr>
              <w:t>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140" w:type="dxa"/>
            <w:vAlign w:val="bottom"/>
          </w:tcPr>
          <w:p>
            <w:pPr>
              <w:spacing w:after="0"/>
              <w:rPr>
                <w:sz w:val="20"/>
                <w:szCs w:val="20"/>
                <w:color w:val="auto"/>
              </w:rPr>
            </w:pPr>
            <w:r>
              <w:rPr>
                <w:rFonts w:ascii="Arial" w:cs="Arial" w:eastAsia="Arial" w:hAnsi="Arial"/>
                <w:sz w:val="20"/>
                <w:szCs w:val="20"/>
                <w:color w:val="auto"/>
              </w:rPr>
              <w:t xml:space="preserve">Biopharma Laboratory Services </w:t>
            </w:r>
            <w:r>
              <w:rPr>
                <w:rFonts w:ascii="Arial" w:cs="Arial" w:eastAsia="Arial" w:hAnsi="Arial"/>
                <w:sz w:val="25"/>
                <w:szCs w:val="25"/>
                <w:color w:val="auto"/>
                <w:vertAlign w:val="superscript"/>
              </w:rPr>
              <w:t>(4)</w:t>
            </w:r>
          </w:p>
        </w:tc>
        <w:tc>
          <w:tcPr>
            <w:tcW w:w="2900" w:type="dxa"/>
            <w:vAlign w:val="bottom"/>
            <w:gridSpan w:val="4"/>
          </w:tcPr>
          <w:p>
            <w:pPr>
              <w:jc w:val="center"/>
              <w:ind w:left="1901"/>
              <w:spacing w:after="0"/>
              <w:rPr>
                <w:sz w:val="20"/>
                <w:szCs w:val="20"/>
                <w:color w:val="auto"/>
              </w:rPr>
            </w:pPr>
            <w:r>
              <w:rPr>
                <w:rFonts w:ascii="Arial" w:cs="Arial" w:eastAsia="Arial" w:hAnsi="Arial"/>
                <w:sz w:val="20"/>
                <w:szCs w:val="20"/>
                <w:color w:val="auto"/>
                <w:w w:val="99"/>
              </w:rPr>
              <w:t>$3.19</w:t>
            </w:r>
          </w:p>
        </w:tc>
        <w:tc>
          <w:tcPr>
            <w:tcW w:w="700" w:type="dxa"/>
            <w:vAlign w:val="bottom"/>
            <w:gridSpan w:val="3"/>
          </w:tcPr>
          <w:p>
            <w:pPr>
              <w:jc w:val="center"/>
              <w:ind w:left="81"/>
              <w:spacing w:after="0"/>
              <w:rPr>
                <w:sz w:val="20"/>
                <w:szCs w:val="20"/>
                <w:color w:val="auto"/>
              </w:rPr>
            </w:pPr>
            <w:r>
              <w:rPr>
                <w:rFonts w:ascii="Arial" w:cs="Arial" w:eastAsia="Arial" w:hAnsi="Arial"/>
                <w:sz w:val="20"/>
                <w:szCs w:val="20"/>
                <w:color w:val="auto"/>
                <w:w w:val="95"/>
              </w:rPr>
              <w:t>$3.25</w:t>
            </w:r>
          </w:p>
        </w:tc>
        <w:tc>
          <w:tcPr>
            <w:tcW w:w="460" w:type="dxa"/>
            <w:vAlign w:val="bottom"/>
          </w:tcPr>
          <w:p>
            <w:pPr>
              <w:spacing w:after="0"/>
              <w:rPr>
                <w:sz w:val="24"/>
                <w:szCs w:val="24"/>
                <w:color w:val="auto"/>
              </w:rPr>
            </w:pPr>
          </w:p>
        </w:tc>
        <w:tc>
          <w:tcPr>
            <w:tcW w:w="1160" w:type="dxa"/>
            <w:vAlign w:val="bottom"/>
            <w:gridSpan w:val="4"/>
          </w:tcPr>
          <w:p>
            <w:pPr>
              <w:jc w:val="center"/>
              <w:ind w:left="161"/>
              <w:spacing w:after="0"/>
              <w:rPr>
                <w:sz w:val="20"/>
                <w:szCs w:val="20"/>
                <w:color w:val="auto"/>
              </w:rPr>
            </w:pPr>
            <w:r>
              <w:rPr>
                <w:rFonts w:ascii="Arial" w:cs="Arial" w:eastAsia="Arial" w:hAnsi="Arial"/>
                <w:sz w:val="20"/>
                <w:szCs w:val="20"/>
                <w:color w:val="auto"/>
                <w:w w:val="99"/>
              </w:rPr>
              <w:t>$3.22</w:t>
            </w:r>
          </w:p>
        </w:tc>
        <w:tc>
          <w:tcPr>
            <w:tcW w:w="760" w:type="dxa"/>
            <w:vAlign w:val="bottom"/>
            <w:gridSpan w:val="4"/>
          </w:tcPr>
          <w:p>
            <w:pPr>
              <w:jc w:val="center"/>
              <w:ind w:left="61"/>
              <w:spacing w:after="0"/>
              <w:rPr>
                <w:sz w:val="20"/>
                <w:szCs w:val="20"/>
                <w:color w:val="auto"/>
              </w:rPr>
            </w:pPr>
            <w:r>
              <w:rPr>
                <w:rFonts w:ascii="Arial" w:cs="Arial" w:eastAsia="Arial" w:hAnsi="Arial"/>
                <w:sz w:val="20"/>
                <w:szCs w:val="20"/>
                <w:color w:val="auto"/>
                <w:w w:val="95"/>
              </w:rPr>
              <w:t>$3.27</w:t>
            </w:r>
          </w:p>
        </w:tc>
        <w:tc>
          <w:tcPr>
            <w:tcW w:w="0" w:type="dxa"/>
            <w:vAlign w:val="bottom"/>
          </w:tcPr>
          <w:p>
            <w:pPr>
              <w:spacing w:after="0"/>
              <w:rPr>
                <w:sz w:val="1"/>
                <w:szCs w:val="1"/>
                <w:color w:val="auto"/>
              </w:rPr>
            </w:pPr>
          </w:p>
        </w:tc>
      </w:tr>
      <w:tr>
        <w:trPr>
          <w:trHeight w:val="307"/>
        </w:trPr>
        <w:tc>
          <w:tcPr>
            <w:tcW w:w="5140" w:type="dxa"/>
            <w:vAlign w:val="bottom"/>
          </w:tcPr>
          <w:p>
            <w:pPr>
              <w:spacing w:after="0"/>
              <w:rPr>
                <w:sz w:val="20"/>
                <w:szCs w:val="20"/>
                <w:color w:val="auto"/>
              </w:rPr>
            </w:pPr>
            <w:r>
              <w:rPr>
                <w:rFonts w:ascii="Arial" w:cs="Arial" w:eastAsia="Arial" w:hAnsi="Arial"/>
                <w:sz w:val="16"/>
                <w:szCs w:val="16"/>
                <w:i w:val="1"/>
                <w:iCs w:val="1"/>
                <w:color w:val="auto"/>
              </w:rPr>
              <w:t xml:space="preserve">Growth </w:t>
            </w:r>
            <w:r>
              <w:rPr>
                <w:rFonts w:ascii="Arial" w:cs="Arial" w:eastAsia="Arial" w:hAnsi="Arial"/>
                <w:sz w:val="21"/>
                <w:szCs w:val="21"/>
                <w:i w:val="1"/>
                <w:iCs w:val="1"/>
                <w:color w:val="auto"/>
                <w:vertAlign w:val="superscript"/>
              </w:rPr>
              <w:t>(3)</w:t>
            </w:r>
          </w:p>
        </w:tc>
        <w:tc>
          <w:tcPr>
            <w:tcW w:w="2900" w:type="dxa"/>
            <w:vAlign w:val="bottom"/>
            <w:gridSpan w:val="4"/>
          </w:tcPr>
          <w:p>
            <w:pPr>
              <w:jc w:val="center"/>
              <w:ind w:left="1901"/>
              <w:spacing w:after="0"/>
              <w:rPr>
                <w:sz w:val="20"/>
                <w:szCs w:val="20"/>
                <w:color w:val="auto"/>
              </w:rPr>
            </w:pPr>
            <w:r>
              <w:rPr>
                <w:rFonts w:ascii="Arial" w:cs="Arial" w:eastAsia="Arial" w:hAnsi="Arial"/>
                <w:sz w:val="20"/>
                <w:szCs w:val="20"/>
                <w:color w:val="auto"/>
              </w:rPr>
              <w:t>3.0%</w:t>
            </w:r>
          </w:p>
        </w:tc>
        <w:tc>
          <w:tcPr>
            <w:tcW w:w="700" w:type="dxa"/>
            <w:vAlign w:val="bottom"/>
            <w:gridSpan w:val="3"/>
          </w:tcPr>
          <w:p>
            <w:pPr>
              <w:jc w:val="center"/>
              <w:ind w:left="81"/>
              <w:spacing w:after="0"/>
              <w:rPr>
                <w:sz w:val="20"/>
                <w:szCs w:val="20"/>
                <w:color w:val="auto"/>
              </w:rPr>
            </w:pPr>
            <w:r>
              <w:rPr>
                <w:rFonts w:ascii="Arial" w:cs="Arial" w:eastAsia="Arial" w:hAnsi="Arial"/>
                <w:sz w:val="20"/>
                <w:szCs w:val="20"/>
                <w:color w:val="auto"/>
                <w:w w:val="96"/>
              </w:rPr>
              <w:t>5.0%</w:t>
            </w:r>
          </w:p>
        </w:tc>
        <w:tc>
          <w:tcPr>
            <w:tcW w:w="460" w:type="dxa"/>
            <w:vAlign w:val="bottom"/>
          </w:tcPr>
          <w:p>
            <w:pPr>
              <w:spacing w:after="0"/>
              <w:rPr>
                <w:sz w:val="24"/>
                <w:szCs w:val="24"/>
                <w:color w:val="auto"/>
              </w:rPr>
            </w:pPr>
          </w:p>
        </w:tc>
        <w:tc>
          <w:tcPr>
            <w:tcW w:w="1160" w:type="dxa"/>
            <w:vAlign w:val="bottom"/>
            <w:gridSpan w:val="4"/>
          </w:tcPr>
          <w:p>
            <w:pPr>
              <w:jc w:val="center"/>
              <w:ind w:left="161"/>
              <w:spacing w:after="0"/>
              <w:rPr>
                <w:sz w:val="20"/>
                <w:szCs w:val="20"/>
                <w:color w:val="auto"/>
              </w:rPr>
            </w:pPr>
            <w:r>
              <w:rPr>
                <w:rFonts w:ascii="Arial" w:cs="Arial" w:eastAsia="Arial" w:hAnsi="Arial"/>
                <w:sz w:val="20"/>
                <w:szCs w:val="20"/>
                <w:color w:val="auto"/>
              </w:rPr>
              <w:t>3.8%</w:t>
            </w:r>
          </w:p>
        </w:tc>
        <w:tc>
          <w:tcPr>
            <w:tcW w:w="700" w:type="dxa"/>
            <w:vAlign w:val="bottom"/>
            <w:gridSpan w:val="3"/>
          </w:tcPr>
          <w:p>
            <w:pPr>
              <w:jc w:val="center"/>
              <w:ind w:left="121"/>
              <w:spacing w:after="0"/>
              <w:rPr>
                <w:sz w:val="20"/>
                <w:szCs w:val="20"/>
                <w:color w:val="auto"/>
              </w:rPr>
            </w:pPr>
            <w:r>
              <w:rPr>
                <w:rFonts w:ascii="Arial" w:cs="Arial" w:eastAsia="Arial" w:hAnsi="Arial"/>
                <w:sz w:val="20"/>
                <w:szCs w:val="20"/>
                <w:color w:val="auto"/>
                <w:w w:val="96"/>
              </w:rPr>
              <w:t>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140" w:type="dxa"/>
            <w:vAlign w:val="bottom"/>
          </w:tcPr>
          <w:p>
            <w:pPr>
              <w:spacing w:after="0"/>
              <w:rPr>
                <w:sz w:val="20"/>
                <w:szCs w:val="20"/>
                <w:color w:val="auto"/>
              </w:rPr>
            </w:pPr>
            <w:r>
              <w:rPr>
                <w:rFonts w:ascii="Arial" w:cs="Arial" w:eastAsia="Arial" w:hAnsi="Arial"/>
                <w:sz w:val="20"/>
                <w:szCs w:val="20"/>
                <w:b w:val="1"/>
                <w:bCs w:val="1"/>
                <w:color w:val="auto"/>
              </w:rPr>
              <w:t>Adjusted EPS</w:t>
            </w:r>
          </w:p>
        </w:tc>
        <w:tc>
          <w:tcPr>
            <w:tcW w:w="2900" w:type="dxa"/>
            <w:vAlign w:val="bottom"/>
            <w:gridSpan w:val="4"/>
          </w:tcPr>
          <w:p>
            <w:pPr>
              <w:jc w:val="center"/>
              <w:ind w:left="1901"/>
              <w:spacing w:after="0"/>
              <w:rPr>
                <w:sz w:val="20"/>
                <w:szCs w:val="20"/>
                <w:color w:val="auto"/>
              </w:rPr>
            </w:pPr>
            <w:r>
              <w:rPr>
                <w:rFonts w:ascii="Arial" w:cs="Arial" w:eastAsia="Arial" w:hAnsi="Arial"/>
                <w:sz w:val="20"/>
                <w:szCs w:val="20"/>
                <w:color w:val="auto"/>
              </w:rPr>
              <w:t>$17.55</w:t>
            </w:r>
          </w:p>
        </w:tc>
        <w:tc>
          <w:tcPr>
            <w:tcW w:w="1160" w:type="dxa"/>
            <w:vAlign w:val="bottom"/>
            <w:gridSpan w:val="4"/>
          </w:tcPr>
          <w:p>
            <w:pPr>
              <w:jc w:val="center"/>
              <w:ind w:right="280"/>
              <w:spacing w:after="0"/>
              <w:rPr>
                <w:sz w:val="20"/>
                <w:szCs w:val="20"/>
                <w:color w:val="auto"/>
              </w:rPr>
            </w:pPr>
            <w:r>
              <w:rPr>
                <w:rFonts w:ascii="Arial" w:cs="Arial" w:eastAsia="Arial" w:hAnsi="Arial"/>
                <w:sz w:val="20"/>
                <w:szCs w:val="20"/>
                <w:color w:val="auto"/>
                <w:w w:val="98"/>
              </w:rPr>
              <w:t>$18.25</w:t>
            </w:r>
          </w:p>
        </w:tc>
        <w:tc>
          <w:tcPr>
            <w:tcW w:w="1160" w:type="dxa"/>
            <w:vAlign w:val="bottom"/>
            <w:gridSpan w:val="4"/>
          </w:tcPr>
          <w:p>
            <w:pPr>
              <w:jc w:val="center"/>
              <w:ind w:left="161"/>
              <w:spacing w:after="0"/>
              <w:rPr>
                <w:sz w:val="20"/>
                <w:szCs w:val="20"/>
                <w:color w:val="auto"/>
              </w:rPr>
            </w:pPr>
            <w:r>
              <w:rPr>
                <w:rFonts w:ascii="Arial" w:cs="Arial" w:eastAsia="Arial" w:hAnsi="Arial"/>
                <w:sz w:val="20"/>
                <w:szCs w:val="20"/>
                <w:color w:val="auto"/>
              </w:rPr>
              <w:t>$17.70</w:t>
            </w:r>
          </w:p>
        </w:tc>
        <w:tc>
          <w:tcPr>
            <w:tcW w:w="760" w:type="dxa"/>
            <w:vAlign w:val="bottom"/>
            <w:gridSpan w:val="4"/>
          </w:tcPr>
          <w:p>
            <w:pPr>
              <w:jc w:val="center"/>
              <w:ind w:left="61"/>
              <w:spacing w:after="0"/>
              <w:rPr>
                <w:sz w:val="20"/>
                <w:szCs w:val="20"/>
                <w:color w:val="auto"/>
              </w:rPr>
            </w:pPr>
            <w:r>
              <w:rPr>
                <w:rFonts w:ascii="Arial" w:cs="Arial" w:eastAsia="Arial" w:hAnsi="Arial"/>
                <w:sz w:val="20"/>
                <w:szCs w:val="20"/>
                <w:color w:val="auto"/>
                <w:w w:val="98"/>
              </w:rPr>
              <w:t>$18.35</w:t>
            </w:r>
          </w:p>
        </w:tc>
        <w:tc>
          <w:tcPr>
            <w:tcW w:w="0" w:type="dxa"/>
            <w:vAlign w:val="bottom"/>
          </w:tcPr>
          <w:p>
            <w:pPr>
              <w:spacing w:after="0"/>
              <w:rPr>
                <w:sz w:val="1"/>
                <w:szCs w:val="1"/>
                <w:color w:val="auto"/>
              </w:rPr>
            </w:pPr>
          </w:p>
        </w:tc>
      </w:tr>
      <w:tr>
        <w:trPr>
          <w:trHeight w:val="419"/>
        </w:trPr>
        <w:tc>
          <w:tcPr>
            <w:tcW w:w="5140" w:type="dxa"/>
            <w:vAlign w:val="bottom"/>
          </w:tcPr>
          <w:p>
            <w:pPr>
              <w:spacing w:after="0"/>
              <w:rPr>
                <w:sz w:val="20"/>
                <w:szCs w:val="20"/>
                <w:color w:val="auto"/>
              </w:rPr>
            </w:pPr>
            <w:r>
              <w:rPr>
                <w:rFonts w:ascii="Arial" w:cs="Arial" w:eastAsia="Arial" w:hAnsi="Arial"/>
                <w:sz w:val="20"/>
                <w:szCs w:val="20"/>
                <w:b w:val="1"/>
                <w:bCs w:val="1"/>
                <w:color w:val="auto"/>
              </w:rPr>
              <w:t>Free Cash Flow</w:t>
            </w:r>
          </w:p>
        </w:tc>
        <w:tc>
          <w:tcPr>
            <w:tcW w:w="2900" w:type="dxa"/>
            <w:vAlign w:val="bottom"/>
            <w:gridSpan w:val="4"/>
          </w:tcPr>
          <w:p>
            <w:pPr>
              <w:jc w:val="center"/>
              <w:ind w:left="1901"/>
              <w:spacing w:after="0"/>
              <w:rPr>
                <w:sz w:val="20"/>
                <w:szCs w:val="20"/>
                <w:color w:val="auto"/>
              </w:rPr>
            </w:pPr>
            <w:r>
              <w:rPr>
                <w:rFonts w:ascii="Arial" w:cs="Arial" w:eastAsia="Arial" w:hAnsi="Arial"/>
                <w:sz w:val="20"/>
                <w:szCs w:val="20"/>
                <w:color w:val="auto"/>
                <w:w w:val="99"/>
              </w:rPr>
              <w:t>$1.24</w:t>
            </w:r>
          </w:p>
        </w:tc>
        <w:tc>
          <w:tcPr>
            <w:tcW w:w="700" w:type="dxa"/>
            <w:vAlign w:val="bottom"/>
            <w:gridSpan w:val="3"/>
          </w:tcPr>
          <w:p>
            <w:pPr>
              <w:jc w:val="center"/>
              <w:ind w:left="81"/>
              <w:spacing w:after="0"/>
              <w:rPr>
                <w:sz w:val="20"/>
                <w:szCs w:val="20"/>
                <w:color w:val="auto"/>
              </w:rPr>
            </w:pPr>
            <w:r>
              <w:rPr>
                <w:rFonts w:ascii="Arial" w:cs="Arial" w:eastAsia="Arial" w:hAnsi="Arial"/>
                <w:sz w:val="20"/>
                <w:szCs w:val="20"/>
                <w:color w:val="auto"/>
                <w:w w:val="95"/>
              </w:rPr>
              <w:t>$1.36</w:t>
            </w:r>
          </w:p>
        </w:tc>
        <w:tc>
          <w:tcPr>
            <w:tcW w:w="460" w:type="dxa"/>
            <w:vAlign w:val="bottom"/>
          </w:tcPr>
          <w:p>
            <w:pPr>
              <w:spacing w:after="0"/>
              <w:rPr>
                <w:sz w:val="24"/>
                <w:szCs w:val="24"/>
                <w:color w:val="auto"/>
              </w:rPr>
            </w:pPr>
          </w:p>
        </w:tc>
        <w:tc>
          <w:tcPr>
            <w:tcW w:w="1160" w:type="dxa"/>
            <w:vAlign w:val="bottom"/>
            <w:gridSpan w:val="4"/>
          </w:tcPr>
          <w:p>
            <w:pPr>
              <w:jc w:val="center"/>
              <w:ind w:left="161"/>
              <w:spacing w:after="0"/>
              <w:rPr>
                <w:sz w:val="20"/>
                <w:szCs w:val="20"/>
                <w:color w:val="auto"/>
              </w:rPr>
            </w:pPr>
            <w:r>
              <w:rPr>
                <w:rFonts w:ascii="Arial" w:cs="Arial" w:eastAsia="Arial" w:hAnsi="Arial"/>
                <w:sz w:val="20"/>
                <w:szCs w:val="20"/>
                <w:color w:val="auto"/>
                <w:w w:val="99"/>
              </w:rPr>
              <w:t>$1.24</w:t>
            </w:r>
          </w:p>
        </w:tc>
        <w:tc>
          <w:tcPr>
            <w:tcW w:w="760" w:type="dxa"/>
            <w:vAlign w:val="bottom"/>
            <w:gridSpan w:val="4"/>
          </w:tcPr>
          <w:p>
            <w:pPr>
              <w:jc w:val="center"/>
              <w:ind w:left="61"/>
              <w:spacing w:after="0"/>
              <w:rPr>
                <w:sz w:val="20"/>
                <w:szCs w:val="20"/>
                <w:color w:val="auto"/>
              </w:rPr>
            </w:pPr>
            <w:r>
              <w:rPr>
                <w:rFonts w:ascii="Arial" w:cs="Arial" w:eastAsia="Arial" w:hAnsi="Arial"/>
                <w:sz w:val="20"/>
                <w:szCs w:val="20"/>
                <w:color w:val="auto"/>
                <w:w w:val="95"/>
              </w:rPr>
              <w:t>$1.36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300" w:hanging="274"/>
        <w:spacing w:after="0"/>
        <w:tabs>
          <w:tab w:leader="none" w:pos="30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2026 Updated guidance includes an impact from foreign currency translation of 0.4%.</w:t>
      </w:r>
    </w:p>
    <w:p>
      <w:pPr>
        <w:spacing w:after="0" w:line="29" w:lineRule="exact"/>
        <w:rPr>
          <w:rFonts w:ascii="Arial" w:cs="Arial" w:eastAsia="Arial" w:hAnsi="Arial"/>
          <w:sz w:val="18"/>
          <w:szCs w:val="18"/>
          <w:i w:val="1"/>
          <w:iCs w:val="1"/>
          <w:color w:val="auto"/>
        </w:rPr>
      </w:pPr>
    </w:p>
    <w:p>
      <w:pPr>
        <w:ind w:left="300" w:hanging="274"/>
        <w:spacing w:after="0"/>
        <w:tabs>
          <w:tab w:leader="none" w:pos="30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Enterprise level revenue is presented net of intercompany transaction eliminations.</w:t>
      </w:r>
    </w:p>
    <w:p>
      <w:pPr>
        <w:spacing w:after="0" w:line="22" w:lineRule="exact"/>
        <w:rPr>
          <w:rFonts w:ascii="Arial" w:cs="Arial" w:eastAsia="Arial" w:hAnsi="Arial"/>
          <w:sz w:val="18"/>
          <w:szCs w:val="18"/>
          <w:i w:val="1"/>
          <w:iCs w:val="1"/>
          <w:color w:val="auto"/>
        </w:rPr>
      </w:pPr>
    </w:p>
    <w:p>
      <w:pPr>
        <w:ind w:left="20" w:right="440" w:firstLine="6"/>
        <w:spacing w:after="0" w:line="234" w:lineRule="auto"/>
        <w:tabs>
          <w:tab w:leader="none" w:pos="29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Growth based on 2025 Enterprise revenue of $14.0 billion, Diagnostics revenue of $10.9 billion, and Biopharma Laboratory Services revenue of $3.1 billion.</w:t>
      </w:r>
    </w:p>
    <w:p>
      <w:pPr>
        <w:spacing w:after="0" w:line="7" w:lineRule="exact"/>
        <w:rPr>
          <w:rFonts w:ascii="Arial" w:cs="Arial" w:eastAsia="Arial" w:hAnsi="Arial"/>
          <w:sz w:val="18"/>
          <w:szCs w:val="18"/>
          <w:i w:val="1"/>
          <w:iCs w:val="1"/>
          <w:color w:val="auto"/>
        </w:rPr>
      </w:pPr>
    </w:p>
    <w:p>
      <w:pPr>
        <w:ind w:left="300" w:hanging="274"/>
        <w:spacing w:after="0"/>
        <w:tabs>
          <w:tab w:leader="none" w:pos="30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2026 Updated guidance includes an impact from foreign currency translation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2" w:right="339" w:bottom="1440" w:gutter="0" w:footer="0" w:header="0"/>
        </w:sectPr>
      </w:pPr>
    </w:p>
    <w:bookmarkStart w:id="10" w:name="page11"/>
    <w:bookmarkEnd w:id="10"/>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Adjusted Measures</w:t>
      </w:r>
    </w:p>
    <w:p>
      <w:pPr>
        <w:spacing w:after="0" w:line="123"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The company has provided in this press release and accompanying tables “adjusted” financial information that has not been prepared in accordance with GAAP, including adjusted net income, adjusted EPS (or adjusted net income per share), adjusted operating income, adjusted operating margin, free cash flow, and certain segment information. The company believes these adjusted measures are useful to investors as a supplement to, but not as a substitute for, GAAP measures, in evaluating the company’s operational performance. The company further believes that the use of these non-GAAP financial measures provides an additional tool for investors in evaluating operating results and trends, and growth and shareholder returns, as well as in comparing the company’s financial results with the financial results of other companies. However, the company notes that these adjusted measures may be different from and not directly comparable to the measures presented by other companies. Reconciliations of these non-GAAP measures to the most comparable GAAP measures and an identification of the components that comprise “special items” used for certain adjusted financial information are included in the tables accompanying this press release.</w:t>
      </w:r>
    </w:p>
    <w:p>
      <w:pPr>
        <w:spacing w:after="0" w:line="207"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The company today is providing an investor relations presentation with additional information on its business and operations, which is available in the investor relations section of the company's website at https://ir.labcorp.com. Analysts and investors are directed to the website to review this supplemental information.</w:t>
      </w:r>
    </w:p>
    <w:p>
      <w:pPr>
        <w:spacing w:after="0" w:line="204"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A webcast discussing Labcorp's quarterly results will be held today at 9:00 a.m. ET and is available by accessing the Labcorp investor relations website and navigating to the “Events” section. Alternatively, the live webcast can be accessed on this link. This webcast will be archived and accessible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Labcorp</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Labcorp (NYSE: LH) is a global leader of innovative and comprehensive laboratory services that helps doctors, hospitals, pharmaceutical companies, researchers, and patients make clear and confident decisions. We provide insights and advance science to improve health and improve lives through our unparalleled diagnostics and drug development laboratory capabilities. The company's nearly 71,000 employees serve clients in approximately 100 countries, provided support for more than 85% of the new drugs and therapeutic products approved by the FDA in 2025, and performed more than 750 million tests for patients around the world. Learn more at www.labcorp.com.</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This press release contains forward-looking statements, including, but not limited to, statements with respect to (i) the estimated 2026 guidance and related assumptions, (ii) the impact of various factors on operating and financial results, including global economic and market conditions on the company's businesses, operating results, cash flows and/or financial condition, (iii) future business strategies, (iv) expected savings, synergies and other benefits to the company, customers or patients from acquisitions and other transactions and partnerships, and (v) opportunities for future growth.</w:t>
      </w:r>
    </w:p>
    <w:p>
      <w:pPr>
        <w:spacing w:after="0" w:line="21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i w:val="1"/>
          <w:iCs w:val="1"/>
          <w:color w:val="auto"/>
        </w:rPr>
        <w:t>Each of the forward-looking statements is subject to change based on various important factors, many of which are beyond the company's control, including without limitation: (i) the failure to receive tax-free treatment with respect to the spin-off of the company’s former Clinical Development and Commercialization Services business for U.S. federal income purposes; (ii) the impact of spin-off related items; (iii) personnel costs and potential difficulties with employee relations and retention; (iv) the trading price of the company's stock, competitive actions and other unforeseen changes and general uncertainties in the marketplace; (v) the impact of changes to existing or adoption of new laws and regulations applicable to the company, including healthcare reform, or changes to the interpretation and application of such laws and regulations; (vi) customer purchasing decisions, including changes in payer regulations or policies; (vii) adverse actions of governmental and third-party payers; (viii) changes in testing guidelines or recommendations; (ix) the impact of global geopolitical events; (x) the effect of public opinion on the company's reputation; (xi) adverse results in material litigation matters; (xii) failure to maintain or develop customer relationships; (xiii) the company's ability to develop or acquire new products and adapt to technological changes; (xiv) failure of the company’s information technology, systems, or data security; (xv) the impact of potential losses under repurchase agreements; (xvi) adverse weather conditions; (xvii) the number of revenue days in a financial period; (xviii) inflation; (xix) increased competition; and (xx) the effect of exchange rate fluctuations. These factors, in some cases, have affected and in the future (together with other factors) could affect the company's ability to implement the company's business strategy, and actual results could differ materially from those suggested by these forward-looking statements. As a result, readers are cautioned not to place undue reliance on any of the forward- looking statements.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i w:val="1"/>
          <w:iCs w:val="1"/>
          <w:color w:val="auto"/>
        </w:rPr>
        <w:t>The company has no obligation to provide any updates to these forward-looking statements even if its expectations change. All forward-looking statements are expressly qualified in their entirety by this cautionary statement. Further information on potential factors, risks and uncertainties that could affect operating and financial results is included in the company's most recent Annual Report on Form 10-K and subsequent Forms 10-Q, including in each case under the heading RISK FACTORS, and in the company's other filings with the SEC. The information in this press release should be read in conjunction with a review of the company's filings with the SEC including the information in the company's most recent Annual Report on Form 10-K, and subsequent Forms 10-Q, under the heading “MANAGEMENT'S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End of Text -</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Tables to Follow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22"/>
          <w:szCs w:val="22"/>
          <w:b w:val="1"/>
          <w:bCs w:val="1"/>
          <w:color w:val="auto"/>
        </w:rPr>
        <w:t>LABCORP HOLDINGS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Millions,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81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4"/>
        </w:trPr>
        <w:tc>
          <w:tcPr>
            <w:tcW w:w="81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3,537.6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3,345.1</w:t>
            </w:r>
          </w:p>
        </w:tc>
        <w:tc>
          <w:tcPr>
            <w:tcW w:w="0" w:type="dxa"/>
            <w:vAlign w:val="bottom"/>
          </w:tcPr>
          <w:p>
            <w:pPr>
              <w:spacing w:after="0"/>
              <w:rPr>
                <w:sz w:val="1"/>
                <w:szCs w:val="1"/>
                <w:color w:val="auto"/>
              </w:rPr>
            </w:pPr>
          </w:p>
        </w:tc>
      </w:tr>
      <w:tr>
        <w:trPr>
          <w:trHeight w:val="235"/>
        </w:trPr>
        <w:tc>
          <w:tcPr>
            <w:tcW w:w="816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2,397.1</w:t>
            </w:r>
          </w:p>
        </w:tc>
        <w:tc>
          <w:tcPr>
            <w:tcW w:w="0" w:type="dxa"/>
            <w:vAlign w:val="bottom"/>
          </w:tcPr>
          <w:p>
            <w:pPr>
              <w:spacing w:after="0"/>
              <w:rPr>
                <w:sz w:val="1"/>
                <w:szCs w:val="1"/>
                <w:color w:val="auto"/>
              </w:rPr>
            </w:pPr>
          </w:p>
        </w:tc>
      </w:tr>
      <w:tr>
        <w:trPr>
          <w:trHeight w:val="218"/>
        </w:trPr>
        <w:tc>
          <w:tcPr>
            <w:tcW w:w="816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948.0</w:t>
            </w:r>
          </w:p>
        </w:tc>
        <w:tc>
          <w:tcPr>
            <w:tcW w:w="0" w:type="dxa"/>
            <w:vAlign w:val="bottom"/>
          </w:tcPr>
          <w:p>
            <w:pPr>
              <w:spacing w:after="0"/>
              <w:rPr>
                <w:sz w:val="1"/>
                <w:szCs w:val="1"/>
                <w:color w:val="auto"/>
              </w:rPr>
            </w:pPr>
          </w:p>
        </w:tc>
      </w:tr>
      <w:tr>
        <w:trPr>
          <w:trHeight w:val="229"/>
        </w:trPr>
        <w:tc>
          <w:tcPr>
            <w:tcW w:w="8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29"/>
        </w:trPr>
        <w:tc>
          <w:tcPr>
            <w:tcW w:w="8160" w:type="dxa"/>
            <w:vAlign w:val="bottom"/>
          </w:tcPr>
          <w:p>
            <w:pPr>
              <w:spacing w:after="0"/>
              <w:rPr>
                <w:sz w:val="20"/>
                <w:szCs w:val="20"/>
                <w:color w:val="auto"/>
              </w:rPr>
            </w:pPr>
            <w:r>
              <w:rPr>
                <w:rFonts w:ascii="Arial" w:cs="Arial" w:eastAsia="Arial" w:hAnsi="Arial"/>
                <w:sz w:val="18"/>
                <w:szCs w:val="18"/>
                <w:color w:val="auto"/>
              </w:rPr>
              <w:t>Amortization of intangibles and other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5"/>
        </w:trPr>
        <w:tc>
          <w:tcPr>
            <w:tcW w:w="816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8"/>
        </w:trPr>
        <w:tc>
          <w:tcPr>
            <w:tcW w:w="816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9"/>
        </w:trPr>
        <w:tc>
          <w:tcPr>
            <w:tcW w:w="816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8160" w:type="dxa"/>
            <w:vAlign w:val="bottom"/>
          </w:tcPr>
          <w:p>
            <w:pPr>
              <w:ind w:left="240"/>
              <w:spacing w:after="0"/>
              <w:rPr>
                <w:sz w:val="20"/>
                <w:szCs w:val="20"/>
                <w:color w:val="auto"/>
              </w:rPr>
            </w:pPr>
            <w:r>
              <w:rPr>
                <w:rFonts w:ascii="Arial" w:cs="Arial" w:eastAsia="Arial" w:hAnsi="Arial"/>
                <w:sz w:val="18"/>
                <w:szCs w:val="18"/>
                <w:color w:val="auto"/>
              </w:rPr>
              <w:t>Equity method loss,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5"/>
        </w:trPr>
        <w:tc>
          <w:tcPr>
            <w:tcW w:w="816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8160" w:type="dxa"/>
            <w:vAlign w:val="bottom"/>
          </w:tcPr>
          <w:p>
            <w:pPr>
              <w:spacing w:after="0"/>
              <w:rPr>
                <w:sz w:val="20"/>
                <w:szCs w:val="20"/>
                <w:color w:val="auto"/>
              </w:rPr>
            </w:pPr>
            <w:r>
              <w:rPr>
                <w:rFonts w:ascii="Arial" w:cs="Arial" w:eastAsia="Arial" w:hAnsi="Arial"/>
                <w:sz w:val="18"/>
                <w:szCs w:val="18"/>
                <w:color w:val="auto"/>
              </w:rPr>
              <w:t>Earnings from operations before income taxes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35"/>
        </w:trPr>
        <w:tc>
          <w:tcPr>
            <w:tcW w:w="816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8"/>
        </w:trPr>
        <w:tc>
          <w:tcPr>
            <w:tcW w:w="8160" w:type="dxa"/>
            <w:vAlign w:val="bottom"/>
          </w:tcPr>
          <w:p>
            <w:pPr>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35"/>
        </w:trPr>
        <w:tc>
          <w:tcPr>
            <w:tcW w:w="8160" w:type="dxa"/>
            <w:vAlign w:val="bottom"/>
          </w:tcPr>
          <w:p>
            <w:pPr>
              <w:ind w:left="240"/>
              <w:spacing w:after="0"/>
              <w:rPr>
                <w:sz w:val="20"/>
                <w:szCs w:val="20"/>
                <w:color w:val="auto"/>
              </w:rPr>
            </w:pPr>
            <w:r>
              <w:rPr>
                <w:rFonts w:ascii="Arial" w:cs="Arial" w:eastAsia="Arial" w:hAnsi="Arial"/>
                <w:sz w:val="18"/>
                <w:szCs w:val="18"/>
                <w:color w:val="auto"/>
              </w:rPr>
              <w:t>Less: Net earnings attributable to the noncontrolling interest</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Net earnings attributable to Labcorp Holdings Inc.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8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4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9"/>
        </w:trPr>
        <w:tc>
          <w:tcPr>
            <w:tcW w:w="8160" w:type="dxa"/>
            <w:vAlign w:val="bottom"/>
          </w:tcPr>
          <w:p>
            <w:pPr>
              <w:ind w:left="2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477"/>
        </w:trPr>
        <w:tc>
          <w:tcPr>
            <w:tcW w:w="8160" w:type="dxa"/>
            <w:vAlign w:val="bottom"/>
          </w:tcPr>
          <w:p>
            <w:pPr>
              <w:spacing w:after="0"/>
              <w:rPr>
                <w:sz w:val="20"/>
                <w:szCs w:val="20"/>
                <w:color w:val="auto"/>
              </w:rPr>
            </w:pPr>
            <w:r>
              <w:rPr>
                <w:rFonts w:ascii="Arial" w:cs="Arial" w:eastAsia="Arial" w:hAnsi="Arial"/>
                <w:sz w:val="18"/>
                <w:szCs w:val="18"/>
                <w:color w:val="auto"/>
              </w:rPr>
              <w:t>Weighted-average basic common shares outstanding</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9"/>
        </w:trPr>
        <w:tc>
          <w:tcPr>
            <w:tcW w:w="8160" w:type="dxa"/>
            <w:vAlign w:val="bottom"/>
          </w:tcPr>
          <w:p>
            <w:pPr>
              <w:spacing w:after="0"/>
              <w:rPr>
                <w:sz w:val="20"/>
                <w:szCs w:val="20"/>
                <w:color w:val="auto"/>
              </w:rPr>
            </w:pPr>
            <w:r>
              <w:rPr>
                <w:rFonts w:ascii="Arial" w:cs="Arial" w:eastAsia="Arial" w:hAnsi="Arial"/>
                <w:sz w:val="18"/>
                <w:szCs w:val="18"/>
                <w:color w:val="auto"/>
              </w:rPr>
              <w:t>Weighted-average diluted common shares outstanding</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40" w:top="1421" w:right="339" w:bottom="1440" w:gutter="0" w:footer="0" w:header="0"/>
        </w:sectPr>
      </w:pPr>
    </w:p>
    <w:bookmarkStart w:id="13" w:name="page14"/>
    <w:bookmarkEnd w:id="13"/>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LABCORP HOLDINGS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2026</w:t>
            </w:r>
          </w:p>
        </w:tc>
        <w:tc>
          <w:tcPr>
            <w:tcW w:w="12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December 31, 2025</w:t>
            </w:r>
          </w:p>
        </w:tc>
        <w:tc>
          <w:tcPr>
            <w:tcW w:w="0" w:type="dxa"/>
            <w:vAlign w:val="bottom"/>
          </w:tcPr>
          <w:p>
            <w:pPr>
              <w:spacing w:after="0"/>
              <w:rPr>
                <w:sz w:val="1"/>
                <w:szCs w:val="1"/>
                <w:color w:val="auto"/>
              </w:rPr>
            </w:pPr>
          </w:p>
        </w:tc>
      </w:tr>
      <w:tr>
        <w:trPr>
          <w:trHeight w:val="224"/>
        </w:trPr>
        <w:tc>
          <w:tcPr>
            <w:tcW w:w="730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981.1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29"/>
        </w:trPr>
        <w:tc>
          <w:tcPr>
            <w:tcW w:w="73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2,288.6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2,103.8</w:t>
            </w:r>
          </w:p>
        </w:tc>
        <w:tc>
          <w:tcPr>
            <w:tcW w:w="0" w:type="dxa"/>
            <w:vAlign w:val="bottom"/>
          </w:tcPr>
          <w:p>
            <w:pPr>
              <w:spacing w:after="0"/>
              <w:rPr>
                <w:sz w:val="1"/>
                <w:szCs w:val="1"/>
                <w:color w:val="auto"/>
              </w:rPr>
            </w:pPr>
          </w:p>
        </w:tc>
      </w:tr>
      <w:tr>
        <w:trPr>
          <w:trHeight w:val="230"/>
        </w:trPr>
        <w:tc>
          <w:tcPr>
            <w:tcW w:w="7300" w:type="dxa"/>
            <w:vAlign w:val="bottom"/>
          </w:tcPr>
          <w:p>
            <w:pPr>
              <w:ind w:left="200"/>
              <w:spacing w:after="0"/>
              <w:rPr>
                <w:sz w:val="20"/>
                <w:szCs w:val="20"/>
                <w:color w:val="auto"/>
              </w:rPr>
            </w:pPr>
            <w:r>
              <w:rPr>
                <w:rFonts w:ascii="Arial" w:cs="Arial" w:eastAsia="Arial" w:hAnsi="Arial"/>
                <w:sz w:val="18"/>
                <w:szCs w:val="18"/>
                <w:color w:val="auto"/>
              </w:rPr>
              <w:t>Unbilled services, net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29"/>
        </w:trPr>
        <w:tc>
          <w:tcPr>
            <w:tcW w:w="7300" w:type="dxa"/>
            <w:vAlign w:val="bottom"/>
          </w:tcPr>
          <w:p>
            <w:pPr>
              <w:ind w:left="200"/>
              <w:spacing w:after="0"/>
              <w:rPr>
                <w:sz w:val="20"/>
                <w:szCs w:val="20"/>
                <w:color w:val="auto"/>
              </w:rPr>
            </w:pPr>
            <w:r>
              <w:rPr>
                <w:rFonts w:ascii="Arial" w:cs="Arial" w:eastAsia="Arial" w:hAnsi="Arial"/>
                <w:sz w:val="18"/>
                <w:szCs w:val="18"/>
                <w:color w:val="auto"/>
              </w:rPr>
              <w:t>Supplies inventory</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35"/>
        </w:trPr>
        <w:tc>
          <w:tcPr>
            <w:tcW w:w="730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18"/>
        </w:trPr>
        <w:tc>
          <w:tcPr>
            <w:tcW w:w="73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4,558.8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4,020.5</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3,065.5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Goodwill, net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6,955.2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6,789.5</w:t>
            </w: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3,636.1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3,596.0</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Joint venture partnerships and equity method investments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35"/>
        </w:trPr>
        <w:tc>
          <w:tcPr>
            <w:tcW w:w="730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19,087.1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18,392.7</w:t>
            </w:r>
          </w:p>
        </w:tc>
        <w:tc>
          <w:tcPr>
            <w:tcW w:w="0" w:type="dxa"/>
            <w:vAlign w:val="bottom"/>
          </w:tcPr>
          <w:p>
            <w:pPr>
              <w:spacing w:after="0"/>
              <w:rPr>
                <w:sz w:val="1"/>
                <w:szCs w:val="1"/>
                <w:color w:val="auto"/>
              </w:rPr>
            </w:pPr>
          </w:p>
        </w:tc>
      </w:tr>
      <w:tr>
        <w:trPr>
          <w:trHeight w:val="21"/>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7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695.7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230"/>
        </w:trPr>
        <w:tc>
          <w:tcPr>
            <w:tcW w:w="7300" w:type="dxa"/>
            <w:vAlign w:val="bottom"/>
          </w:tcPr>
          <w:p>
            <w:pPr>
              <w:ind w:left="200"/>
              <w:spacing w:after="0"/>
              <w:rPr>
                <w:sz w:val="20"/>
                <w:szCs w:val="20"/>
                <w:color w:val="auto"/>
              </w:rPr>
            </w:pPr>
            <w:r>
              <w:rPr>
                <w:rFonts w:ascii="Arial" w:cs="Arial" w:eastAsia="Arial" w:hAnsi="Arial"/>
                <w:sz w:val="18"/>
                <w:szCs w:val="18"/>
                <w:color w:val="auto"/>
              </w:rPr>
              <w:t>Accrued expenses and other</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851.9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230"/>
        </w:trPr>
        <w:tc>
          <w:tcPr>
            <w:tcW w:w="7300" w:type="dxa"/>
            <w:vAlign w:val="bottom"/>
          </w:tcPr>
          <w:p>
            <w:pPr>
              <w:ind w:left="200"/>
              <w:spacing w:after="0"/>
              <w:rPr>
                <w:sz w:val="20"/>
                <w:szCs w:val="20"/>
                <w:color w:val="auto"/>
              </w:rPr>
            </w:pPr>
            <w:r>
              <w:rPr>
                <w:rFonts w:ascii="Arial" w:cs="Arial" w:eastAsia="Arial" w:hAnsi="Arial"/>
                <w:sz w:val="18"/>
                <w:szCs w:val="18"/>
                <w:color w:val="auto"/>
              </w:rPr>
              <w:t>Unearned revenue</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29"/>
        </w:trPr>
        <w:tc>
          <w:tcPr>
            <w:tcW w:w="7300" w:type="dxa"/>
            <w:vAlign w:val="bottom"/>
          </w:tcPr>
          <w:p>
            <w:pPr>
              <w:ind w:left="200"/>
              <w:spacing w:after="0"/>
              <w:rPr>
                <w:sz w:val="20"/>
                <w:szCs w:val="20"/>
                <w:color w:val="auto"/>
              </w:rPr>
            </w:pPr>
            <w:r>
              <w:rPr>
                <w:rFonts w:ascii="Arial" w:cs="Arial" w:eastAsia="Arial" w:hAnsi="Arial"/>
                <w:sz w:val="18"/>
                <w:szCs w:val="18"/>
                <w:color w:val="auto"/>
              </w:rPr>
              <w:t>Short-term operating lease liabilities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30"/>
        </w:trPr>
        <w:tc>
          <w:tcPr>
            <w:tcW w:w="7300" w:type="dxa"/>
            <w:vAlign w:val="bottom"/>
          </w:tcPr>
          <w:p>
            <w:pPr>
              <w:ind w:left="200"/>
              <w:spacing w:after="0"/>
              <w:rPr>
                <w:sz w:val="20"/>
                <w:szCs w:val="20"/>
                <w:color w:val="auto"/>
              </w:rPr>
            </w:pPr>
            <w:r>
              <w:rPr>
                <w:rFonts w:ascii="Arial" w:cs="Arial" w:eastAsia="Arial" w:hAnsi="Arial"/>
                <w:sz w:val="18"/>
                <w:szCs w:val="18"/>
                <w:color w:val="auto"/>
              </w:rPr>
              <w:t>Short-term finance lease liabilities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5"/>
        </w:trPr>
        <w:tc>
          <w:tcPr>
            <w:tcW w:w="7300" w:type="dxa"/>
            <w:vAlign w:val="bottom"/>
          </w:tcPr>
          <w:p>
            <w:pPr>
              <w:ind w:left="20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8"/>
        </w:trPr>
        <w:tc>
          <w:tcPr>
            <w:tcW w:w="73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2,823.5</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5,833.7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5,084.6</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Deferred income taxes and other tax liabilities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35"/>
        </w:trPr>
        <w:tc>
          <w:tcPr>
            <w:tcW w:w="730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18"/>
        </w:trPr>
        <w:tc>
          <w:tcPr>
            <w:tcW w:w="730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9,756.0</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300" w:type="dxa"/>
            <w:vAlign w:val="bottom"/>
          </w:tcPr>
          <w:p>
            <w:pPr>
              <w:ind w:left="200"/>
              <w:spacing w:after="0" w:line="189" w:lineRule="exact"/>
              <w:rPr>
                <w:sz w:val="20"/>
                <w:szCs w:val="20"/>
                <w:color w:val="auto"/>
              </w:rPr>
            </w:pPr>
            <w:r>
              <w:rPr>
                <w:rFonts w:ascii="Arial" w:cs="Arial" w:eastAsia="Arial" w:hAnsi="Arial"/>
                <w:sz w:val="18"/>
                <w:szCs w:val="18"/>
                <w:color w:val="auto"/>
              </w:rPr>
              <w:t>Common stock, 82.3 and 82.2 shares outstanding at March 31, 2026, and December 31,</w:t>
            </w:r>
          </w:p>
        </w:tc>
        <w:tc>
          <w:tcPr>
            <w:tcW w:w="220" w:type="dxa"/>
            <w:vAlign w:val="bottom"/>
          </w:tcPr>
          <w:p>
            <w:pPr>
              <w:spacing w:after="0"/>
              <w:rPr>
                <w:sz w:val="16"/>
                <w:szCs w:val="16"/>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44"/>
        </w:trPr>
        <w:tc>
          <w:tcPr>
            <w:tcW w:w="7300" w:type="dxa"/>
            <w:vAlign w:val="bottom"/>
            <w:vMerge w:val="restart"/>
          </w:tcPr>
          <w:p>
            <w:pPr>
              <w:ind w:left="200"/>
              <w:spacing w:after="0"/>
              <w:rPr>
                <w:sz w:val="20"/>
                <w:szCs w:val="20"/>
                <w:color w:val="auto"/>
              </w:rPr>
            </w:pPr>
            <w:r>
              <w:rPr>
                <w:rFonts w:ascii="Arial" w:cs="Arial" w:eastAsia="Arial" w:hAnsi="Arial"/>
                <w:sz w:val="18"/>
                <w:szCs w:val="18"/>
                <w:color w:val="auto"/>
              </w:rPr>
              <w:t>2025, respectively</w:t>
            </w:r>
          </w:p>
        </w:tc>
        <w:tc>
          <w:tcPr>
            <w:tcW w:w="2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7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8,784.4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8,639.9</w:t>
            </w:r>
          </w:p>
        </w:tc>
        <w:tc>
          <w:tcPr>
            <w:tcW w:w="0" w:type="dxa"/>
            <w:vAlign w:val="bottom"/>
          </w:tcPr>
          <w:p>
            <w:pPr>
              <w:spacing w:after="0"/>
              <w:rPr>
                <w:sz w:val="1"/>
                <w:szCs w:val="1"/>
                <w:color w:val="auto"/>
              </w:rPr>
            </w:pPr>
          </w:p>
        </w:tc>
      </w:tr>
      <w:tr>
        <w:trPr>
          <w:trHeight w:val="235"/>
        </w:trPr>
        <w:tc>
          <w:tcPr>
            <w:tcW w:w="73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730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19,087.1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18,392.7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40" w:top="1440"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22"/>
          <w:szCs w:val="22"/>
          <w:b w:val="1"/>
          <w:bCs w:val="1"/>
          <w:color w:val="auto"/>
        </w:rPr>
        <w:t>LABCORP HOLDINGS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7"/>
                <w:szCs w:val="17"/>
                <w:b w:val="1"/>
                <w:bCs w:val="1"/>
                <w:color w:val="auto"/>
              </w:rPr>
              <w:t>Three Months Ended March 31,</w:t>
            </w:r>
          </w:p>
        </w:tc>
      </w:tr>
      <w:tr>
        <w:trPr>
          <w:trHeight w:val="237"/>
        </w:trPr>
        <w:tc>
          <w:tcPr>
            <w:tcW w:w="8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2025</w:t>
            </w:r>
          </w:p>
        </w:tc>
      </w:tr>
      <w:tr>
        <w:trPr>
          <w:trHeight w:val="213"/>
        </w:trPr>
        <w:tc>
          <w:tcPr>
            <w:tcW w:w="830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3"/>
        </w:trPr>
        <w:tc>
          <w:tcPr>
            <w:tcW w:w="8300" w:type="dxa"/>
            <w:vAlign w:val="bottom"/>
          </w:tcPr>
          <w:p>
            <w:pPr>
              <w:spacing w:after="0"/>
              <w:rPr>
                <w:sz w:val="20"/>
                <w:szCs w:val="20"/>
                <w:color w:val="auto"/>
              </w:rPr>
            </w:pPr>
            <w:r>
              <w:rPr>
                <w:rFonts w:ascii="Arial" w:cs="Arial" w:eastAsia="Arial" w:hAnsi="Arial"/>
                <w:sz w:val="17"/>
                <w:szCs w:val="17"/>
                <w:color w:val="auto"/>
              </w:rPr>
              <w:t>Net earnings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278.0</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213.0</w:t>
            </w:r>
          </w:p>
        </w:tc>
      </w:tr>
      <w:tr>
        <w:trPr>
          <w:trHeight w:val="229"/>
        </w:trPr>
        <w:tc>
          <w:tcPr>
            <w:tcW w:w="8300" w:type="dxa"/>
            <w:vAlign w:val="bottom"/>
          </w:tcPr>
          <w:p>
            <w:pPr>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30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166.8</w:t>
            </w:r>
          </w:p>
        </w:tc>
      </w:tr>
      <w:tr>
        <w:trPr>
          <w:trHeight w:val="229"/>
        </w:trPr>
        <w:tc>
          <w:tcPr>
            <w:tcW w:w="8300" w:type="dxa"/>
            <w:vAlign w:val="bottom"/>
          </w:tcPr>
          <w:p>
            <w:pPr>
              <w:ind w:left="200"/>
              <w:spacing w:after="0"/>
              <w:rPr>
                <w:sz w:val="20"/>
                <w:szCs w:val="20"/>
                <w:color w:val="auto"/>
              </w:rPr>
            </w:pPr>
            <w:r>
              <w:rPr>
                <w:rFonts w:ascii="Arial" w:cs="Arial" w:eastAsia="Arial" w:hAnsi="Arial"/>
                <w:sz w:val="17"/>
                <w:szCs w:val="17"/>
                <w:color w:val="auto"/>
              </w:rPr>
              <w:t>Stock compensation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32.8</w:t>
            </w:r>
          </w:p>
        </w:tc>
      </w:tr>
      <w:tr>
        <w:trPr>
          <w:trHeight w:val="229"/>
        </w:trPr>
        <w:tc>
          <w:tcPr>
            <w:tcW w:w="8300" w:type="dxa"/>
            <w:vAlign w:val="bottom"/>
          </w:tcPr>
          <w:p>
            <w:pPr>
              <w:ind w:left="200"/>
              <w:spacing w:after="0"/>
              <w:rPr>
                <w:sz w:val="20"/>
                <w:szCs w:val="20"/>
                <w:color w:val="auto"/>
              </w:rPr>
            </w:pPr>
            <w:r>
              <w:rPr>
                <w:rFonts w:ascii="Arial" w:cs="Arial" w:eastAsia="Arial" w:hAnsi="Arial"/>
                <w:sz w:val="17"/>
                <w:szCs w:val="17"/>
                <w:color w:val="auto"/>
              </w:rPr>
              <w:t>Operating lease right-of-use asset expense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48.6</w:t>
            </w:r>
          </w:p>
        </w:tc>
      </w:tr>
      <w:tr>
        <w:trPr>
          <w:trHeight w:val="230"/>
        </w:trPr>
        <w:tc>
          <w:tcPr>
            <w:tcW w:w="8300" w:type="dxa"/>
            <w:vAlign w:val="bottom"/>
          </w:tcPr>
          <w:p>
            <w:pPr>
              <w:ind w:left="20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29"/>
        </w:trPr>
        <w:tc>
          <w:tcPr>
            <w:tcW w:w="8300" w:type="dxa"/>
            <w:vAlign w:val="bottom"/>
          </w:tcPr>
          <w:p>
            <w:pPr>
              <w:ind w:left="200"/>
              <w:spacing w:after="0"/>
              <w:rPr>
                <w:sz w:val="20"/>
                <w:szCs w:val="20"/>
                <w:color w:val="auto"/>
              </w:rPr>
            </w:pPr>
            <w:r>
              <w:rPr>
                <w:rFonts w:ascii="Arial" w:cs="Arial" w:eastAsia="Arial" w:hAnsi="Arial"/>
                <w:sz w:val="17"/>
                <w:szCs w:val="17"/>
                <w:color w:val="auto"/>
              </w:rPr>
              <w:t>Other,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29"/>
        </w:trPr>
        <w:tc>
          <w:tcPr>
            <w:tcW w:w="8300" w:type="dxa"/>
            <w:vAlign w:val="bottom"/>
          </w:tcPr>
          <w:p>
            <w:pPr>
              <w:ind w:left="200"/>
              <w:spacing w:after="0"/>
              <w:rPr>
                <w:sz w:val="20"/>
                <w:szCs w:val="20"/>
                <w:color w:val="auto"/>
              </w:rPr>
            </w:pPr>
            <w:r>
              <w:rPr>
                <w:rFonts w:ascii="Arial" w:cs="Arial" w:eastAsia="Arial" w:hAnsi="Arial"/>
                <w:sz w:val="17"/>
                <w:szCs w:val="17"/>
                <w:color w:val="auto"/>
              </w:rPr>
              <w:t>Change in assets and liabilities (net of effects of acquisitions and divestitures):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300" w:type="dxa"/>
            <w:vAlign w:val="bottom"/>
          </w:tcPr>
          <w:p>
            <w:pPr>
              <w:ind w:left="440"/>
              <w:spacing w:after="0"/>
              <w:rPr>
                <w:sz w:val="20"/>
                <w:szCs w:val="20"/>
                <w:color w:val="auto"/>
              </w:rPr>
            </w:pPr>
            <w:r>
              <w:rPr>
                <w:rFonts w:ascii="Arial" w:cs="Arial" w:eastAsia="Arial" w:hAnsi="Arial"/>
                <w:sz w:val="17"/>
                <w:szCs w:val="17"/>
                <w:color w:val="auto"/>
              </w:rPr>
              <w:t>Increase in accounts receivable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(170.8)</w:t>
            </w:r>
          </w:p>
        </w:tc>
      </w:tr>
      <w:tr>
        <w:trPr>
          <w:trHeight w:val="229"/>
        </w:trPr>
        <w:tc>
          <w:tcPr>
            <w:tcW w:w="8300" w:type="dxa"/>
            <w:vAlign w:val="bottom"/>
          </w:tcPr>
          <w:p>
            <w:pPr>
              <w:ind w:left="460"/>
              <w:spacing w:after="0"/>
              <w:rPr>
                <w:sz w:val="20"/>
                <w:szCs w:val="20"/>
                <w:color w:val="auto"/>
              </w:rPr>
            </w:pPr>
            <w:r>
              <w:rPr>
                <w:rFonts w:ascii="Arial" w:cs="Arial" w:eastAsia="Arial" w:hAnsi="Arial"/>
                <w:sz w:val="17"/>
                <w:szCs w:val="17"/>
                <w:color w:val="auto"/>
              </w:rPr>
              <w:t>(Increase) decrease in unbilled services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30"/>
        </w:trPr>
        <w:tc>
          <w:tcPr>
            <w:tcW w:w="8300" w:type="dxa"/>
            <w:vAlign w:val="bottom"/>
          </w:tcPr>
          <w:p>
            <w:pPr>
              <w:ind w:left="460"/>
              <w:spacing w:after="0"/>
              <w:rPr>
                <w:sz w:val="20"/>
                <w:szCs w:val="20"/>
                <w:color w:val="auto"/>
              </w:rPr>
            </w:pPr>
            <w:r>
              <w:rPr>
                <w:rFonts w:ascii="Arial" w:cs="Arial" w:eastAsia="Arial" w:hAnsi="Arial"/>
                <w:sz w:val="17"/>
                <w:szCs w:val="17"/>
                <w:color w:val="auto"/>
              </w:rPr>
              <w:t>Decrease in supplies inventory</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9"/>
        </w:trPr>
        <w:tc>
          <w:tcPr>
            <w:tcW w:w="8300" w:type="dxa"/>
            <w:vAlign w:val="bottom"/>
          </w:tcPr>
          <w:p>
            <w:pPr>
              <w:ind w:left="460"/>
              <w:spacing w:after="0"/>
              <w:rPr>
                <w:sz w:val="20"/>
                <w:szCs w:val="20"/>
                <w:color w:val="auto"/>
              </w:rPr>
            </w:pPr>
            <w:r>
              <w:rPr>
                <w:rFonts w:ascii="Arial" w:cs="Arial" w:eastAsia="Arial" w:hAnsi="Arial"/>
                <w:sz w:val="17"/>
                <w:szCs w:val="17"/>
                <w:color w:val="auto"/>
              </w:rPr>
              <w:t>Decrease in prepaid expenses and other</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229"/>
        </w:trPr>
        <w:tc>
          <w:tcPr>
            <w:tcW w:w="8300" w:type="dxa"/>
            <w:vAlign w:val="bottom"/>
          </w:tcPr>
          <w:p>
            <w:pPr>
              <w:ind w:left="460"/>
              <w:spacing w:after="0"/>
              <w:rPr>
                <w:sz w:val="20"/>
                <w:szCs w:val="20"/>
                <w:color w:val="auto"/>
              </w:rPr>
            </w:pPr>
            <w:r>
              <w:rPr>
                <w:rFonts w:ascii="Arial" w:cs="Arial" w:eastAsia="Arial" w:hAnsi="Arial"/>
                <w:sz w:val="17"/>
                <w:szCs w:val="17"/>
                <w:color w:val="auto"/>
              </w:rPr>
              <w:t>Decrease in accounts payable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(147.6)</w:t>
            </w:r>
          </w:p>
        </w:tc>
      </w:tr>
      <w:tr>
        <w:trPr>
          <w:trHeight w:val="230"/>
        </w:trPr>
        <w:tc>
          <w:tcPr>
            <w:tcW w:w="8300" w:type="dxa"/>
            <w:vAlign w:val="bottom"/>
          </w:tcPr>
          <w:p>
            <w:pPr>
              <w:ind w:left="460"/>
              <w:spacing w:after="0"/>
              <w:rPr>
                <w:sz w:val="20"/>
                <w:szCs w:val="20"/>
                <w:color w:val="auto"/>
              </w:rPr>
            </w:pPr>
            <w:r>
              <w:rPr>
                <w:rFonts w:ascii="Arial" w:cs="Arial" w:eastAsia="Arial" w:hAnsi="Arial"/>
                <w:sz w:val="17"/>
                <w:szCs w:val="17"/>
                <w:color w:val="auto"/>
              </w:rPr>
              <w:t>Decrease in unearned revenue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36"/>
        </w:trPr>
        <w:tc>
          <w:tcPr>
            <w:tcW w:w="8300" w:type="dxa"/>
            <w:vAlign w:val="bottom"/>
          </w:tcPr>
          <w:p>
            <w:pPr>
              <w:ind w:left="460"/>
              <w:spacing w:after="0"/>
              <w:rPr>
                <w:sz w:val="20"/>
                <w:szCs w:val="20"/>
                <w:color w:val="auto"/>
              </w:rPr>
            </w:pPr>
            <w:r>
              <w:rPr>
                <w:rFonts w:ascii="Arial" w:cs="Arial" w:eastAsia="Arial" w:hAnsi="Arial"/>
                <w:sz w:val="17"/>
                <w:szCs w:val="17"/>
                <w:color w:val="auto"/>
              </w:rPr>
              <w:t>Decrease in accrued expenses and other</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(174.7)</w:t>
            </w:r>
          </w:p>
        </w:tc>
      </w:tr>
      <w:tr>
        <w:trPr>
          <w:trHeight w:val="225"/>
        </w:trPr>
        <w:tc>
          <w:tcPr>
            <w:tcW w:w="830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w:t>
            </w:r>
          </w:p>
        </w:tc>
      </w:tr>
      <w:tr>
        <w:trPr>
          <w:trHeight w:val="215"/>
        </w:trPr>
        <w:tc>
          <w:tcPr>
            <w:tcW w:w="830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7"/>
                <w:szCs w:val="17"/>
                <w:color w:val="auto"/>
              </w:rPr>
              <w:t>Capital expenditures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(126.0)</w:t>
            </w:r>
          </w:p>
        </w:tc>
      </w:tr>
      <w:tr>
        <w:trPr>
          <w:trHeight w:val="230"/>
        </w:trPr>
        <w:tc>
          <w:tcPr>
            <w:tcW w:w="8300" w:type="dxa"/>
            <w:vAlign w:val="bottom"/>
          </w:tcPr>
          <w:p>
            <w:pPr>
              <w:ind w:left="120"/>
              <w:spacing w:after="0"/>
              <w:rPr>
                <w:sz w:val="20"/>
                <w:szCs w:val="20"/>
                <w:color w:val="auto"/>
              </w:rPr>
            </w:pPr>
            <w:r>
              <w:rPr>
                <w:rFonts w:ascii="Arial" w:cs="Arial" w:eastAsia="Arial" w:hAnsi="Arial"/>
                <w:sz w:val="17"/>
                <w:szCs w:val="17"/>
                <w:color w:val="auto"/>
              </w:rPr>
              <w:t>Proceeds from sale of assets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30"/>
        </w:trPr>
        <w:tc>
          <w:tcPr>
            <w:tcW w:w="8300" w:type="dxa"/>
            <w:vAlign w:val="bottom"/>
          </w:tcPr>
          <w:p>
            <w:pPr>
              <w:ind w:left="120"/>
              <w:spacing w:after="0"/>
              <w:rPr>
                <w:sz w:val="20"/>
                <w:szCs w:val="20"/>
                <w:color w:val="auto"/>
              </w:rPr>
            </w:pPr>
            <w:r>
              <w:rPr>
                <w:rFonts w:ascii="Arial" w:cs="Arial" w:eastAsia="Arial" w:hAnsi="Arial"/>
                <w:sz w:val="17"/>
                <w:szCs w:val="17"/>
                <w:color w:val="auto"/>
              </w:rPr>
              <w:t>Purchase of equity affiliates or other investments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(157.0)</w:t>
            </w:r>
          </w:p>
        </w:tc>
      </w:tr>
      <w:tr>
        <w:trPr>
          <w:trHeight w:val="236"/>
        </w:trPr>
        <w:tc>
          <w:tcPr>
            <w:tcW w:w="8300" w:type="dxa"/>
            <w:vAlign w:val="bottom"/>
          </w:tcPr>
          <w:p>
            <w:pPr>
              <w:ind w:left="120"/>
              <w:spacing w:after="0"/>
              <w:rPr>
                <w:sz w:val="20"/>
                <w:szCs w:val="20"/>
                <w:color w:val="auto"/>
              </w:rPr>
            </w:pPr>
            <w:r>
              <w:rPr>
                <w:rFonts w:ascii="Arial" w:cs="Arial" w:eastAsia="Arial" w:hAnsi="Arial"/>
                <w:sz w:val="17"/>
                <w:szCs w:val="17"/>
                <w:color w:val="auto"/>
              </w:rPr>
              <w:t>Acquisition of businesses, net of cash acquired</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w:t>
            </w:r>
          </w:p>
        </w:tc>
      </w:tr>
      <w:tr>
        <w:trPr>
          <w:trHeight w:val="225"/>
        </w:trPr>
        <w:tc>
          <w:tcPr>
            <w:tcW w:w="8300" w:type="dxa"/>
            <w:vAlign w:val="bottom"/>
          </w:tcPr>
          <w:p>
            <w:pPr>
              <w:ind w:left="20"/>
              <w:spacing w:after="0"/>
              <w:rPr>
                <w:sz w:val="20"/>
                <w:szCs w:val="20"/>
                <w:color w:val="auto"/>
              </w:rPr>
            </w:pPr>
            <w:r>
              <w:rPr>
                <w:rFonts w:ascii="Arial" w:cs="Arial" w:eastAsia="Arial" w:hAnsi="Arial"/>
                <w:sz w:val="17"/>
                <w:szCs w:val="17"/>
                <w:color w:val="auto"/>
              </w:rPr>
              <w:t>Net cash used for investing activities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(336.0)</w:t>
            </w:r>
          </w:p>
        </w:tc>
      </w:tr>
      <w:tr>
        <w:trPr>
          <w:trHeight w:val="215"/>
        </w:trPr>
        <w:tc>
          <w:tcPr>
            <w:tcW w:w="83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7"/>
                <w:szCs w:val="17"/>
                <w:color w:val="auto"/>
              </w:rPr>
              <w:t>Proceeds from term loan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8300" w:type="dxa"/>
            <w:vAlign w:val="bottom"/>
          </w:tcPr>
          <w:p>
            <w:pPr>
              <w:ind w:left="120"/>
              <w:spacing w:after="0"/>
              <w:rPr>
                <w:sz w:val="20"/>
                <w:szCs w:val="20"/>
                <w:color w:val="auto"/>
              </w:rPr>
            </w:pPr>
            <w:r>
              <w:rPr>
                <w:rFonts w:ascii="Arial" w:cs="Arial" w:eastAsia="Arial" w:hAnsi="Arial"/>
                <w:sz w:val="17"/>
                <w:szCs w:val="17"/>
                <w:color w:val="auto"/>
              </w:rPr>
              <w:t>Payments on senior notes</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30"/>
        </w:trPr>
        <w:tc>
          <w:tcPr>
            <w:tcW w:w="8300" w:type="dxa"/>
            <w:vAlign w:val="bottom"/>
          </w:tcPr>
          <w:p>
            <w:pPr>
              <w:ind w:left="120"/>
              <w:spacing w:after="0"/>
              <w:rPr>
                <w:sz w:val="20"/>
                <w:szCs w:val="20"/>
                <w:color w:val="auto"/>
              </w:rPr>
            </w:pPr>
            <w:r>
              <w:rPr>
                <w:rFonts w:ascii="Arial" w:cs="Arial" w:eastAsia="Arial" w:hAnsi="Arial"/>
                <w:sz w:val="17"/>
                <w:szCs w:val="17"/>
                <w:color w:val="auto"/>
              </w:rPr>
              <w:t>Proceeds from accounts receivable securitization</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225.0</w:t>
            </w:r>
          </w:p>
        </w:tc>
      </w:tr>
      <w:tr>
        <w:trPr>
          <w:trHeight w:val="230"/>
        </w:trPr>
        <w:tc>
          <w:tcPr>
            <w:tcW w:w="8300" w:type="dxa"/>
            <w:vAlign w:val="bottom"/>
          </w:tcPr>
          <w:p>
            <w:pPr>
              <w:ind w:left="120"/>
              <w:spacing w:after="0"/>
              <w:rPr>
                <w:sz w:val="20"/>
                <w:szCs w:val="20"/>
                <w:color w:val="auto"/>
              </w:rPr>
            </w:pPr>
            <w:r>
              <w:rPr>
                <w:rFonts w:ascii="Arial" w:cs="Arial" w:eastAsia="Arial" w:hAnsi="Arial"/>
                <w:sz w:val="17"/>
                <w:szCs w:val="17"/>
                <w:color w:val="auto"/>
              </w:rPr>
              <w:t>Proceeds from revolving credit facilities</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64.8</w:t>
            </w:r>
          </w:p>
        </w:tc>
      </w:tr>
      <w:tr>
        <w:trPr>
          <w:trHeight w:val="230"/>
        </w:trPr>
        <w:tc>
          <w:tcPr>
            <w:tcW w:w="8300" w:type="dxa"/>
            <w:vAlign w:val="bottom"/>
          </w:tcPr>
          <w:p>
            <w:pPr>
              <w:ind w:left="120"/>
              <w:spacing w:after="0"/>
              <w:rPr>
                <w:sz w:val="20"/>
                <w:szCs w:val="20"/>
                <w:color w:val="auto"/>
              </w:rPr>
            </w:pPr>
            <w:r>
              <w:rPr>
                <w:rFonts w:ascii="Arial" w:cs="Arial" w:eastAsia="Arial" w:hAnsi="Arial"/>
                <w:sz w:val="17"/>
                <w:szCs w:val="17"/>
                <w:color w:val="auto"/>
              </w:rPr>
              <w:t>Payments on revolving credit facilities</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(64.8)</w:t>
            </w:r>
          </w:p>
        </w:tc>
      </w:tr>
      <w:tr>
        <w:trPr>
          <w:trHeight w:val="229"/>
        </w:trPr>
        <w:tc>
          <w:tcPr>
            <w:tcW w:w="8300" w:type="dxa"/>
            <w:vAlign w:val="bottom"/>
          </w:tcPr>
          <w:p>
            <w:pPr>
              <w:ind w:left="120"/>
              <w:spacing w:after="0"/>
              <w:rPr>
                <w:sz w:val="20"/>
                <w:szCs w:val="20"/>
                <w:color w:val="auto"/>
              </w:rPr>
            </w:pPr>
            <w:r>
              <w:rPr>
                <w:rFonts w:ascii="Arial" w:cs="Arial" w:eastAsia="Arial" w:hAnsi="Arial"/>
                <w:sz w:val="17"/>
                <w:szCs w:val="17"/>
                <w:color w:val="auto"/>
              </w:rPr>
              <w:t>Net share settlement tax payments from issuance of stock to employees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(25.5)</w:t>
            </w:r>
          </w:p>
        </w:tc>
      </w:tr>
      <w:tr>
        <w:trPr>
          <w:trHeight w:val="230"/>
        </w:trPr>
        <w:tc>
          <w:tcPr>
            <w:tcW w:w="8300" w:type="dxa"/>
            <w:vAlign w:val="bottom"/>
          </w:tcPr>
          <w:p>
            <w:pPr>
              <w:ind w:left="120"/>
              <w:spacing w:after="0"/>
              <w:rPr>
                <w:sz w:val="20"/>
                <w:szCs w:val="20"/>
                <w:color w:val="auto"/>
              </w:rPr>
            </w:pPr>
            <w:r>
              <w:rPr>
                <w:rFonts w:ascii="Arial" w:cs="Arial" w:eastAsia="Arial" w:hAnsi="Arial"/>
                <w:sz w:val="17"/>
                <w:szCs w:val="17"/>
                <w:color w:val="auto"/>
              </w:rPr>
              <w:t>Net proceeds from issuance of stock to employees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25.7</w:t>
            </w:r>
          </w:p>
        </w:tc>
      </w:tr>
      <w:tr>
        <w:trPr>
          <w:trHeight w:val="230"/>
        </w:trPr>
        <w:tc>
          <w:tcPr>
            <w:tcW w:w="8300" w:type="dxa"/>
            <w:vAlign w:val="bottom"/>
          </w:tcPr>
          <w:p>
            <w:pPr>
              <w:ind w:left="120"/>
              <w:spacing w:after="0"/>
              <w:rPr>
                <w:sz w:val="20"/>
                <w:szCs w:val="20"/>
                <w:color w:val="auto"/>
              </w:rPr>
            </w:pPr>
            <w:r>
              <w:rPr>
                <w:rFonts w:ascii="Arial" w:cs="Arial" w:eastAsia="Arial" w:hAnsi="Arial"/>
                <w:sz w:val="17"/>
                <w:szCs w:val="17"/>
                <w:color w:val="auto"/>
              </w:rPr>
              <w:t>Dividends paid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(61.6)</w:t>
            </w:r>
          </w:p>
        </w:tc>
      </w:tr>
      <w:tr>
        <w:trPr>
          <w:trHeight w:val="230"/>
        </w:trPr>
        <w:tc>
          <w:tcPr>
            <w:tcW w:w="8300" w:type="dxa"/>
            <w:vAlign w:val="bottom"/>
          </w:tcPr>
          <w:p>
            <w:pPr>
              <w:ind w:left="120"/>
              <w:spacing w:after="0"/>
              <w:rPr>
                <w:sz w:val="20"/>
                <w:szCs w:val="20"/>
                <w:color w:val="auto"/>
              </w:rPr>
            </w:pPr>
            <w:r>
              <w:rPr>
                <w:rFonts w:ascii="Arial" w:cs="Arial" w:eastAsia="Arial" w:hAnsi="Arial"/>
                <w:sz w:val="17"/>
                <w:szCs w:val="17"/>
                <w:color w:val="auto"/>
              </w:rPr>
              <w:t>Purchase of common stock</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8300" w:type="dxa"/>
            <w:vAlign w:val="bottom"/>
          </w:tcPr>
          <w:p>
            <w:pPr>
              <w:ind w:left="120"/>
              <w:spacing w:after="0"/>
              <w:rPr>
                <w:sz w:val="20"/>
                <w:szCs w:val="20"/>
                <w:color w:val="auto"/>
              </w:rPr>
            </w:pPr>
            <w:r>
              <w:rPr>
                <w:rFonts w:ascii="Arial" w:cs="Arial" w:eastAsia="Arial" w:hAnsi="Arial"/>
                <w:sz w:val="17"/>
                <w:szCs w:val="17"/>
                <w:color w:val="auto"/>
              </w:rPr>
              <w:t>Other, net</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r>
      <w:tr>
        <w:trPr>
          <w:trHeight w:val="225"/>
        </w:trPr>
        <w:tc>
          <w:tcPr>
            <w:tcW w:w="8300" w:type="dxa"/>
            <w:vAlign w:val="bottom"/>
          </w:tcPr>
          <w:p>
            <w:pPr>
              <w:spacing w:after="0"/>
              <w:rPr>
                <w:sz w:val="20"/>
                <w:szCs w:val="20"/>
                <w:color w:val="auto"/>
              </w:rPr>
            </w:pPr>
            <w:r>
              <w:rPr>
                <w:rFonts w:ascii="Arial" w:cs="Arial" w:eastAsia="Arial" w:hAnsi="Arial"/>
                <w:sz w:val="17"/>
                <w:szCs w:val="17"/>
                <w:color w:val="auto"/>
              </w:rPr>
              <w:t>Net cash provided by (used for) financing activities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(839.7)</w:t>
            </w:r>
          </w:p>
        </w:tc>
      </w:tr>
      <w:tr>
        <w:trPr>
          <w:trHeight w:val="223"/>
        </w:trPr>
        <w:tc>
          <w:tcPr>
            <w:tcW w:w="8300" w:type="dxa"/>
            <w:vAlign w:val="bottom"/>
          </w:tcPr>
          <w:p>
            <w:pPr>
              <w:spacing w:after="0"/>
              <w:rPr>
                <w:sz w:val="20"/>
                <w:szCs w:val="20"/>
                <w:color w:val="auto"/>
              </w:rPr>
            </w:pPr>
            <w:r>
              <w:rPr>
                <w:rFonts w:ascii="Arial" w:cs="Arial" w:eastAsia="Arial" w:hAnsi="Arial"/>
                <w:sz w:val="17"/>
                <w:szCs w:val="17"/>
                <w:color w:val="auto"/>
              </w:rPr>
              <w:t>Effect of exchange rate on changes in Cash and cash equivalents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r>
      <w:tr>
        <w:trPr>
          <w:trHeight w:val="219"/>
        </w:trPr>
        <w:tc>
          <w:tcPr>
            <w:tcW w:w="8300" w:type="dxa"/>
            <w:vAlign w:val="bottom"/>
          </w:tcPr>
          <w:p>
            <w:pPr>
              <w:spacing w:after="0"/>
              <w:rPr>
                <w:sz w:val="20"/>
                <w:szCs w:val="20"/>
                <w:color w:val="auto"/>
              </w:rPr>
            </w:pPr>
            <w:r>
              <w:rPr>
                <w:rFonts w:ascii="Arial" w:cs="Arial" w:eastAsia="Arial" w:hAnsi="Arial"/>
                <w:sz w:val="17"/>
                <w:szCs w:val="17"/>
                <w:color w:val="auto"/>
              </w:rPr>
              <w:t>Net increase (decrease) in Cash and cash equivalents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(1,149.3)</w:t>
            </w:r>
          </w:p>
        </w:tc>
      </w:tr>
      <w:tr>
        <w:trPr>
          <w:trHeight w:val="232"/>
        </w:trPr>
        <w:tc>
          <w:tcPr>
            <w:tcW w:w="830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1,518.7</w:t>
            </w:r>
          </w:p>
        </w:tc>
      </w:tr>
      <w:tr>
        <w:trPr>
          <w:trHeight w:val="227"/>
        </w:trPr>
        <w:tc>
          <w:tcPr>
            <w:tcW w:w="830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369.4</w:t>
            </w:r>
          </w:p>
        </w:tc>
      </w:tr>
      <w:tr>
        <w:trPr>
          <w:trHeight w:val="23"/>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40" w:top="1421" w:right="339" w:bottom="1440" w:gutter="0" w:footer="0" w:header="0"/>
        </w:sectPr>
      </w:pPr>
    </w:p>
    <w:bookmarkStart w:id="15" w:name="page16"/>
    <w:bookmarkEnd w:id="15"/>
    <w:p>
      <w:pPr>
        <w:jc w:val="center"/>
        <w:spacing w:after="0" w:line="258" w:lineRule="auto"/>
        <w:rPr>
          <w:sz w:val="20"/>
          <w:szCs w:val="20"/>
          <w:color w:val="auto"/>
        </w:rPr>
      </w:pPr>
      <w:r>
        <w:rPr>
          <w:rFonts w:ascii="Arial" w:cs="Arial" w:eastAsia="Arial" w:hAnsi="Arial"/>
          <w:sz w:val="22"/>
          <w:szCs w:val="22"/>
          <w:b w:val="1"/>
          <w:bCs w:val="1"/>
          <w:color w:val="auto"/>
        </w:rPr>
        <w:t xml:space="preserve">LABCORP HOLDINGS INC. AND SUBSIDIARIES Condensed Combined Non-GAAP Segment Information </w:t>
      </w:r>
      <w:r>
        <w:rPr>
          <w:rFonts w:ascii="Arial" w:cs="Arial" w:eastAsia="Arial" w:hAnsi="Arial"/>
          <w:sz w:val="22"/>
          <w:szCs w:val="22"/>
          <w:color w:val="auto"/>
        </w:rPr>
        <w:t>(Dollars in Millions)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77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Diagnostics Laboratories</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76"/>
        </w:trPr>
        <w:tc>
          <w:tcPr>
            <w:tcW w:w="772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Revenues</w:t>
            </w:r>
          </w:p>
        </w:tc>
        <w:tc>
          <w:tcPr>
            <w:tcW w:w="5560" w:type="dxa"/>
            <w:vAlign w:val="bottom"/>
            <w:gridSpan w:val="2"/>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2,762.1</w:t>
            </w:r>
          </w:p>
        </w:tc>
        <w:tc>
          <w:tcPr>
            <w:tcW w:w="2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2,629.6</w:t>
            </w:r>
          </w:p>
        </w:tc>
        <w:tc>
          <w:tcPr>
            <w:tcW w:w="0" w:type="dxa"/>
            <w:vAlign w:val="bottom"/>
          </w:tcPr>
          <w:p>
            <w:pPr>
              <w:spacing w:after="0"/>
              <w:rPr>
                <w:sz w:val="1"/>
                <w:szCs w:val="1"/>
                <w:color w:val="auto"/>
              </w:rPr>
            </w:pPr>
          </w:p>
        </w:tc>
      </w:tr>
      <w:tr>
        <w:trPr>
          <w:trHeight w:val="274"/>
        </w:trPr>
        <w:tc>
          <w:tcPr>
            <w:tcW w:w="7720" w:type="dxa"/>
            <w:vAlign w:val="bottom"/>
            <w:gridSpan w:val="4"/>
          </w:tcPr>
          <w:p>
            <w:pPr>
              <w:spacing w:after="0"/>
              <w:rPr>
                <w:sz w:val="20"/>
                <w:szCs w:val="20"/>
                <w:color w:val="auto"/>
              </w:rPr>
            </w:pPr>
            <w:r>
              <w:rPr>
                <w:rFonts w:ascii="Arial" w:cs="Arial" w:eastAsia="Arial" w:hAnsi="Arial"/>
                <w:sz w:val="18"/>
                <w:szCs w:val="18"/>
                <w:color w:val="auto"/>
              </w:rPr>
              <w:t>Adjusted 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458.7</w:t>
            </w:r>
          </w:p>
        </w:tc>
        <w:tc>
          <w:tcPr>
            <w:tcW w:w="2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39"/>
        </w:trPr>
        <w:tc>
          <w:tcPr>
            <w:tcW w:w="7720" w:type="dxa"/>
            <w:vAlign w:val="bottom"/>
            <w:gridSpan w:val="4"/>
          </w:tcPr>
          <w:p>
            <w:pPr>
              <w:spacing w:after="0"/>
              <w:rPr>
                <w:sz w:val="20"/>
                <w:szCs w:val="20"/>
                <w:color w:val="auto"/>
              </w:rPr>
            </w:pPr>
            <w:r>
              <w:rPr>
                <w:rFonts w:ascii="Arial" w:cs="Arial" w:eastAsia="Arial" w:hAnsi="Arial"/>
                <w:sz w:val="18"/>
                <w:szCs w:val="18"/>
                <w:color w:val="auto"/>
              </w:rPr>
              <w:t>Adjusted operating margin</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455"/>
        </w:trPr>
        <w:tc>
          <w:tcPr>
            <w:tcW w:w="7720" w:type="dxa"/>
            <w:vAlign w:val="bottom"/>
            <w:gridSpan w:val="4"/>
          </w:tcPr>
          <w:p>
            <w:pPr>
              <w:spacing w:after="0"/>
              <w:rPr>
                <w:sz w:val="20"/>
                <w:szCs w:val="20"/>
                <w:color w:val="auto"/>
              </w:rPr>
            </w:pPr>
            <w:r>
              <w:rPr>
                <w:rFonts w:ascii="Arial" w:cs="Arial" w:eastAsia="Arial" w:hAnsi="Arial"/>
                <w:sz w:val="18"/>
                <w:szCs w:val="18"/>
                <w:b w:val="1"/>
                <w:bCs w:val="1"/>
                <w:color w:val="auto"/>
              </w:rPr>
              <w:t>Biopharma Laboratory Services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7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Revenues</w:t>
            </w:r>
          </w:p>
        </w:tc>
        <w:tc>
          <w:tcPr>
            <w:tcW w:w="50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780.6</w:t>
            </w:r>
          </w:p>
        </w:tc>
        <w:tc>
          <w:tcPr>
            <w:tcW w:w="2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74"/>
        </w:trPr>
        <w:tc>
          <w:tcPr>
            <w:tcW w:w="7720" w:type="dxa"/>
            <w:vAlign w:val="bottom"/>
            <w:gridSpan w:val="4"/>
          </w:tcPr>
          <w:p>
            <w:pPr>
              <w:spacing w:after="0"/>
              <w:rPr>
                <w:sz w:val="20"/>
                <w:szCs w:val="20"/>
                <w:color w:val="auto"/>
              </w:rPr>
            </w:pPr>
            <w:r>
              <w:rPr>
                <w:rFonts w:ascii="Arial" w:cs="Arial" w:eastAsia="Arial" w:hAnsi="Arial"/>
                <w:sz w:val="18"/>
                <w:szCs w:val="18"/>
                <w:color w:val="auto"/>
              </w:rPr>
              <w:t>Adjusted 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120.7</w:t>
            </w:r>
          </w:p>
        </w:tc>
        <w:tc>
          <w:tcPr>
            <w:tcW w:w="2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9"/>
        </w:trPr>
        <w:tc>
          <w:tcPr>
            <w:tcW w:w="7720" w:type="dxa"/>
            <w:vAlign w:val="bottom"/>
            <w:gridSpan w:val="4"/>
          </w:tcPr>
          <w:p>
            <w:pPr>
              <w:spacing w:after="0"/>
              <w:rPr>
                <w:sz w:val="20"/>
                <w:szCs w:val="20"/>
                <w:color w:val="auto"/>
              </w:rPr>
            </w:pPr>
            <w:r>
              <w:rPr>
                <w:rFonts w:ascii="Arial" w:cs="Arial" w:eastAsia="Arial" w:hAnsi="Arial"/>
                <w:sz w:val="18"/>
                <w:szCs w:val="18"/>
                <w:color w:val="auto"/>
              </w:rPr>
              <w:t>Adjusted operating margin</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455"/>
        </w:trPr>
        <w:tc>
          <w:tcPr>
            <w:tcW w:w="7720" w:type="dxa"/>
            <w:vAlign w:val="bottom"/>
            <w:gridSpan w:val="4"/>
          </w:tcPr>
          <w:p>
            <w:pPr>
              <w:spacing w:after="0"/>
              <w:rPr>
                <w:sz w:val="20"/>
                <w:szCs w:val="20"/>
                <w:color w:val="auto"/>
              </w:rPr>
            </w:pPr>
            <w:r>
              <w:rPr>
                <w:rFonts w:ascii="Arial" w:cs="Arial" w:eastAsia="Arial" w:hAnsi="Arial"/>
                <w:sz w:val="18"/>
                <w:szCs w:val="18"/>
                <w:b w:val="1"/>
                <w:bCs w:val="1"/>
                <w:color w:val="auto"/>
              </w:rPr>
              <w:t>Consolidated</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6580" w:type="dxa"/>
            <w:vAlign w:val="bottom"/>
            <w:gridSpan w:val="3"/>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3,537.6</w:t>
            </w:r>
          </w:p>
        </w:tc>
        <w:tc>
          <w:tcPr>
            <w:tcW w:w="2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3,345.1</w:t>
            </w:r>
          </w:p>
        </w:tc>
        <w:tc>
          <w:tcPr>
            <w:tcW w:w="0" w:type="dxa"/>
            <w:vAlign w:val="bottom"/>
          </w:tcPr>
          <w:p>
            <w:pPr>
              <w:spacing w:after="0"/>
              <w:rPr>
                <w:sz w:val="1"/>
                <w:szCs w:val="1"/>
                <w:color w:val="auto"/>
              </w:rPr>
            </w:pPr>
          </w:p>
        </w:tc>
      </w:tr>
      <w:tr>
        <w:trPr>
          <w:trHeight w:val="274"/>
        </w:trPr>
        <w:tc>
          <w:tcPr>
            <w:tcW w:w="7720" w:type="dxa"/>
            <w:vAlign w:val="bottom"/>
            <w:gridSpan w:val="4"/>
          </w:tcPr>
          <w:p>
            <w:pPr>
              <w:spacing w:after="0"/>
              <w:rPr>
                <w:sz w:val="20"/>
                <w:szCs w:val="20"/>
                <w:color w:val="auto"/>
              </w:rPr>
            </w:pPr>
            <w:r>
              <w:rPr>
                <w:rFonts w:ascii="Arial" w:cs="Arial" w:eastAsia="Arial" w:hAnsi="Arial"/>
                <w:sz w:val="18"/>
                <w:szCs w:val="18"/>
                <w:color w:val="auto"/>
              </w:rPr>
              <w:t>Adjusted segment 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579.4</w:t>
            </w:r>
          </w:p>
        </w:tc>
        <w:tc>
          <w:tcPr>
            <w:tcW w:w="2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35"/>
        </w:trPr>
        <w:tc>
          <w:tcPr>
            <w:tcW w:w="7720" w:type="dxa"/>
            <w:vAlign w:val="bottom"/>
            <w:gridSpan w:val="4"/>
          </w:tcPr>
          <w:p>
            <w:pPr>
              <w:spacing w:after="0"/>
              <w:rPr>
                <w:sz w:val="20"/>
                <w:szCs w:val="20"/>
                <w:color w:val="auto"/>
              </w:rPr>
            </w:pPr>
            <w:r>
              <w:rPr>
                <w:rFonts w:ascii="Arial" w:cs="Arial" w:eastAsia="Arial" w:hAnsi="Arial"/>
                <w:sz w:val="18"/>
                <w:szCs w:val="18"/>
                <w:color w:val="auto"/>
              </w:rPr>
              <w:t>Unallocated corporate expense</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(71.5)</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7720" w:type="dxa"/>
            <w:vAlign w:val="bottom"/>
            <w:gridSpan w:val="4"/>
          </w:tcPr>
          <w:p>
            <w:pPr>
              <w:ind w:left="220"/>
              <w:spacing w:after="0"/>
              <w:rPr>
                <w:sz w:val="20"/>
                <w:szCs w:val="20"/>
                <w:color w:val="auto"/>
              </w:rPr>
            </w:pPr>
            <w:r>
              <w:rPr>
                <w:rFonts w:ascii="Arial" w:cs="Arial" w:eastAsia="Arial" w:hAnsi="Arial"/>
                <w:sz w:val="18"/>
                <w:szCs w:val="18"/>
                <w:color w:val="auto"/>
              </w:rPr>
              <w:t>Consolidated adjusted 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507.9</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1"/>
        </w:trPr>
        <w:tc>
          <w:tcPr>
            <w:tcW w:w="7720" w:type="dxa"/>
            <w:vAlign w:val="bottom"/>
            <w:gridSpan w:val="4"/>
            <w:vMerge w:val="restart"/>
          </w:tcPr>
          <w:p>
            <w:pPr>
              <w:ind w:left="220"/>
              <w:spacing w:after="0"/>
              <w:rPr>
                <w:sz w:val="20"/>
                <w:szCs w:val="20"/>
                <w:color w:val="auto"/>
              </w:rPr>
            </w:pPr>
            <w:r>
              <w:rPr>
                <w:rFonts w:ascii="Arial" w:cs="Arial" w:eastAsia="Arial" w:hAnsi="Arial"/>
                <w:sz w:val="18"/>
                <w:szCs w:val="18"/>
                <w:color w:val="auto"/>
              </w:rPr>
              <w:t>Adjusted operating margin</w:t>
            </w: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7720" w:type="dxa"/>
            <w:vAlign w:val="bottom"/>
            <w:gridSpan w:val="4"/>
            <w:vMerge w:val="continue"/>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bl>
    <w:p>
      <w:pPr>
        <w:spacing w:after="0" w:line="361"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The consolidated revenue and adjusted segment operating income are presented net of intercompany transaction eliminations and other amounts not used in determining segment performance. Adjusted operating income and adjusted operating margin are non-GAAP measures. See the subsequent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22"/>
          <w:szCs w:val="22"/>
          <w:b w:val="1"/>
          <w:bCs w:val="1"/>
          <w:color w:val="auto"/>
        </w:rPr>
        <w:t>LABCORP HOLDINGS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Reconciliation of Non-GAAP Measures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(Dollars and Shares in Millions,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23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Adjusted Operating Income</w:t>
            </w:r>
          </w:p>
        </w:tc>
        <w:tc>
          <w:tcPr>
            <w:tcW w:w="548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81"/>
        </w:trPr>
        <w:tc>
          <w:tcPr>
            <w:tcW w:w="2360" w:type="dxa"/>
            <w:vAlign w:val="bottom"/>
            <w:tcBorders>
              <w:bottom w:val="single" w:sz="8" w:color="auto"/>
            </w:tcBorders>
            <w:gridSpan w:val="2"/>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8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29"/>
        </w:trPr>
        <w:tc>
          <w:tcPr>
            <w:tcW w:w="78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 xml:space="preserve">Amortization of intangibles and other assets </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78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(b)</w:t>
            </w:r>
          </w:p>
        </w:tc>
        <w:tc>
          <w:tcPr>
            <w:tcW w:w="2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78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 xml:space="preserve">Acquisition and disposition-related costs </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78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 xml:space="preserve">Launchpad costs </w:t>
            </w:r>
            <w:r>
              <w:rPr>
                <w:rFonts w:ascii="Arial" w:cs="Arial" w:eastAsia="Arial" w:hAnsi="Arial"/>
                <w:sz w:val="23"/>
                <w:szCs w:val="23"/>
                <w:color w:val="auto"/>
                <w:vertAlign w:val="superscript"/>
              </w:rPr>
              <w:t>(d)</w:t>
            </w:r>
          </w:p>
        </w:tc>
        <w:tc>
          <w:tcPr>
            <w:tcW w:w="2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7840" w:type="dxa"/>
            <w:vAlign w:val="bottom"/>
            <w:gridSpan w:val="3"/>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5"/>
        </w:trPr>
        <w:tc>
          <w:tcPr>
            <w:tcW w:w="7840" w:type="dxa"/>
            <w:vAlign w:val="bottom"/>
            <w:gridSpan w:val="3"/>
          </w:tcPr>
          <w:p>
            <w:pPr>
              <w:ind w:left="120"/>
              <w:spacing w:after="0" w:line="235" w:lineRule="exact"/>
              <w:rPr>
                <w:sz w:val="20"/>
                <w:szCs w:val="20"/>
                <w:color w:val="auto"/>
              </w:rPr>
            </w:pPr>
            <w:r>
              <w:rPr>
                <w:rFonts w:ascii="Arial" w:cs="Arial" w:eastAsia="Arial" w:hAnsi="Arial"/>
                <w:sz w:val="18"/>
                <w:szCs w:val="18"/>
                <w:color w:val="auto"/>
              </w:rPr>
              <w:t xml:space="preserve">TSA reimbursement </w:t>
            </w:r>
            <w:r>
              <w:rPr>
                <w:rFonts w:ascii="Arial" w:cs="Arial" w:eastAsia="Arial" w:hAnsi="Arial"/>
                <w:sz w:val="23"/>
                <w:szCs w:val="23"/>
                <w:color w:val="auto"/>
                <w:vertAlign w:val="superscript"/>
              </w:rPr>
              <w:t>(e)</w:t>
            </w:r>
          </w:p>
        </w:tc>
        <w:tc>
          <w:tcPr>
            <w:tcW w:w="24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840" w:type="dxa"/>
            <w:vAlign w:val="bottom"/>
            <w:gridSpan w:val="3"/>
          </w:tcPr>
          <w:p>
            <w:pPr>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7840" w:type="dxa"/>
            <w:vAlign w:val="bottom"/>
            <w:gridSpan w:val="3"/>
          </w:tcPr>
          <w:p>
            <w:pPr>
              <w:spacing w:after="0"/>
              <w:rPr>
                <w:sz w:val="20"/>
                <w:szCs w:val="20"/>
                <w:color w:val="auto"/>
              </w:rPr>
            </w:pPr>
            <w:r>
              <w:rPr>
                <w:rFonts w:ascii="Arial" w:cs="Arial" w:eastAsia="Arial" w:hAnsi="Arial"/>
                <w:sz w:val="18"/>
                <w:szCs w:val="18"/>
                <w:color w:val="auto"/>
              </w:rPr>
              <w:t>Adjusted operating profit margin</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39"/>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Adjusted Net Income</w:t>
            </w:r>
          </w:p>
        </w:tc>
        <w:tc>
          <w:tcPr>
            <w:tcW w:w="604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29"/>
        </w:trPr>
        <w:tc>
          <w:tcPr>
            <w:tcW w:w="7840" w:type="dxa"/>
            <w:vAlign w:val="bottom"/>
            <w:gridSpan w:val="3"/>
          </w:tcPr>
          <w:p>
            <w:pPr>
              <w:ind w:left="120"/>
              <w:spacing w:after="0"/>
              <w:rPr>
                <w:sz w:val="20"/>
                <w:szCs w:val="20"/>
                <w:color w:val="auto"/>
              </w:rPr>
            </w:pPr>
            <w:r>
              <w:rPr>
                <w:rFonts w:ascii="Arial" w:cs="Arial" w:eastAsia="Arial" w:hAnsi="Arial"/>
                <w:sz w:val="18"/>
                <w:szCs w:val="18"/>
                <w:color w:val="auto"/>
              </w:rPr>
              <w:t>Impact of adjustments to operating income</w:t>
            </w:r>
          </w:p>
        </w:tc>
        <w:tc>
          <w:tcPr>
            <w:tcW w:w="2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30"/>
        </w:trPr>
        <w:tc>
          <w:tcPr>
            <w:tcW w:w="78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 xml:space="preserve">Loss on venture fund investments, net </w:t>
            </w:r>
            <w:r>
              <w:rPr>
                <w:rFonts w:ascii="Arial" w:cs="Arial" w:eastAsia="Arial" w:hAnsi="Arial"/>
                <w:sz w:val="23"/>
                <w:szCs w:val="23"/>
                <w:color w:val="auto"/>
                <w:vertAlign w:val="superscript"/>
              </w:rPr>
              <w:t>(f)</w:t>
            </w:r>
          </w:p>
        </w:tc>
        <w:tc>
          <w:tcPr>
            <w:tcW w:w="2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78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 xml:space="preserve">Equity method loss from SYNLAB investment </w:t>
            </w:r>
            <w:r>
              <w:rPr>
                <w:rFonts w:ascii="Arial" w:cs="Arial" w:eastAsia="Arial" w:hAnsi="Arial"/>
                <w:sz w:val="23"/>
                <w:szCs w:val="23"/>
                <w:color w:val="auto"/>
                <w:vertAlign w:val="superscript"/>
              </w:rPr>
              <w:t>(g)</w:t>
            </w:r>
          </w:p>
        </w:tc>
        <w:tc>
          <w:tcPr>
            <w:tcW w:w="2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 xml:space="preserve">TSA reimbursement </w:t>
            </w:r>
            <w:r>
              <w:rPr>
                <w:rFonts w:ascii="Arial" w:cs="Arial" w:eastAsia="Arial" w:hAnsi="Arial"/>
                <w:sz w:val="23"/>
                <w:szCs w:val="23"/>
                <w:color w:val="auto"/>
                <w:vertAlign w:val="superscript"/>
              </w:rPr>
              <w:t>(e)</w:t>
            </w:r>
          </w:p>
        </w:tc>
        <w:tc>
          <w:tcPr>
            <w:tcW w:w="24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840" w:type="dxa"/>
            <w:vAlign w:val="bottom"/>
            <w:gridSpan w:val="3"/>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840" w:type="dxa"/>
            <w:vAlign w:val="bottom"/>
            <w:gridSpan w:val="3"/>
          </w:tcPr>
          <w:p>
            <w:pPr>
              <w:ind w:left="120"/>
              <w:spacing w:after="0" w:line="235" w:lineRule="exact"/>
              <w:rPr>
                <w:sz w:val="20"/>
                <w:szCs w:val="20"/>
                <w:color w:val="auto"/>
              </w:rPr>
            </w:pPr>
            <w:r>
              <w:rPr>
                <w:rFonts w:ascii="Arial" w:cs="Arial" w:eastAsia="Arial" w:hAnsi="Arial"/>
                <w:sz w:val="18"/>
                <w:szCs w:val="18"/>
                <w:color w:val="auto"/>
              </w:rPr>
              <w:t xml:space="preserve">Income tax impact of adjustments </w:t>
            </w:r>
            <w:r>
              <w:rPr>
                <w:rFonts w:ascii="Arial" w:cs="Arial" w:eastAsia="Arial" w:hAnsi="Arial"/>
                <w:sz w:val="23"/>
                <w:szCs w:val="23"/>
                <w:color w:val="auto"/>
                <w:vertAlign w:val="superscript"/>
              </w:rPr>
              <w:t>(h)</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7840" w:type="dxa"/>
            <w:vAlign w:val="bottom"/>
            <w:gridSpan w:val="3"/>
          </w:tcPr>
          <w:p>
            <w:pPr>
              <w:spacing w:after="0"/>
              <w:rPr>
                <w:sz w:val="20"/>
                <w:szCs w:val="20"/>
                <w:color w:val="auto"/>
              </w:rPr>
            </w:pPr>
            <w:r>
              <w:rPr>
                <w:rFonts w:ascii="Arial" w:cs="Arial" w:eastAsia="Arial" w:hAnsi="Arial"/>
                <w:sz w:val="18"/>
                <w:szCs w:val="18"/>
                <w:color w:val="auto"/>
              </w:rPr>
              <w:t>Adjusted 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7840" w:type="dxa"/>
            <w:vAlign w:val="bottom"/>
            <w:gridSpan w:val="3"/>
          </w:tcPr>
          <w:p>
            <w:pPr>
              <w:spacing w:after="0"/>
              <w:rPr>
                <w:sz w:val="20"/>
                <w:szCs w:val="20"/>
                <w:color w:val="auto"/>
              </w:rPr>
            </w:pPr>
            <w:r>
              <w:rPr>
                <w:rFonts w:ascii="Arial" w:cs="Arial" w:eastAsia="Arial" w:hAnsi="Arial"/>
                <w:sz w:val="18"/>
                <w:szCs w:val="18"/>
                <w:color w:val="auto"/>
              </w:rPr>
              <w:t>Weighted-average diluted common shares outstanding</w:t>
            </w:r>
          </w:p>
        </w:tc>
        <w:tc>
          <w:tcPr>
            <w:tcW w:w="240" w:type="dxa"/>
            <w:vAlign w:val="bottom"/>
          </w:tcPr>
          <w:p>
            <w:pPr>
              <w:spacing w:after="0"/>
              <w:rPr>
                <w:sz w:val="22"/>
                <w:szCs w:val="22"/>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83"/>
        </w:trPr>
        <w:tc>
          <w:tcPr>
            <w:tcW w:w="7840" w:type="dxa"/>
            <w:vAlign w:val="bottom"/>
            <w:gridSpan w:val="3"/>
          </w:tcPr>
          <w:p>
            <w:pPr>
              <w:spacing w:after="0"/>
              <w:rPr>
                <w:sz w:val="20"/>
                <w:szCs w:val="20"/>
                <w:color w:val="auto"/>
              </w:rPr>
            </w:pPr>
            <w:r>
              <w:rPr>
                <w:rFonts w:ascii="Arial" w:cs="Arial" w:eastAsia="Arial" w:hAnsi="Arial"/>
                <w:sz w:val="18"/>
                <w:szCs w:val="18"/>
                <w:color w:val="auto"/>
              </w:rPr>
              <w:t>Adjusted net income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620" w:hanging="506"/>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Amortization of intangible assets acquired as part of business acquisitions.</w:t>
      </w:r>
    </w:p>
    <w:p>
      <w:pPr>
        <w:spacing w:after="0" w:line="41" w:lineRule="exact"/>
        <w:rPr>
          <w:rFonts w:ascii="Arial" w:cs="Arial" w:eastAsia="Arial" w:hAnsi="Arial"/>
          <w:sz w:val="14"/>
          <w:szCs w:val="14"/>
          <w:color w:val="auto"/>
        </w:rPr>
      </w:pPr>
    </w:p>
    <w:p>
      <w:pPr>
        <w:ind w:left="620" w:right="140" w:hanging="506"/>
        <w:spacing w:after="0" w:line="252" w:lineRule="auto"/>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Restructuring and other charges represent amounts incurred in connection with the elimination of redundant positions and facilities and contract termination costs within the organization in connection with our LaunchPad initiatives, and acquisitions or dispositions of businesses by the company.</w:t>
      </w:r>
    </w:p>
    <w:p>
      <w:pPr>
        <w:ind w:left="620" w:right="140" w:hanging="506"/>
        <w:spacing w:after="0" w:line="251" w:lineRule="auto"/>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Acquisition and disposition-related costs include due-diligence legal and advisory fees, retention bonuses, impact of delayed contract or license transfers, and other integration or disposition related activities.</w:t>
      </w:r>
    </w:p>
    <w:p>
      <w:pPr>
        <w:ind w:left="620" w:right="140" w:hanging="506"/>
        <w:spacing w:after="0" w:line="251" w:lineRule="auto"/>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LaunchPad costs include non-capitalized costs associated with the implementation of systems, consolidation of processes, and consulting costs incurred as part of various business process improvement initiatives.</w:t>
      </w:r>
    </w:p>
    <w:p>
      <w:pPr>
        <w:ind w:left="620" w:right="120" w:hanging="506"/>
        <w:spacing w:after="0" w:line="280" w:lineRule="auto"/>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transition services fees charged to Fortrea Holdings Inc. related to administrative and IT systems support. The costs to provide these services are included in operating income but the service fees are included in other income.</w:t>
      </w:r>
    </w:p>
    <w:p>
      <w:pPr>
        <w:spacing w:after="0" w:line="1" w:lineRule="exact"/>
        <w:rPr>
          <w:rFonts w:ascii="Arial" w:cs="Arial" w:eastAsia="Arial" w:hAnsi="Arial"/>
          <w:sz w:val="14"/>
          <w:szCs w:val="14"/>
          <w:color w:val="auto"/>
        </w:rPr>
      </w:pPr>
    </w:p>
    <w:p>
      <w:pPr>
        <w:jc w:val="both"/>
        <w:ind w:left="620" w:right="140" w:hanging="506"/>
        <w:spacing w:after="0" w:line="235" w:lineRule="auto"/>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makes investments in companies or investment funds developing promising technology related to its operations. The company recorded net gains and losses related to several distributions from venture funds, increases in the market value of investments, and impairments of other investments due to the underlying performance of the investments.</w:t>
      </w:r>
    </w:p>
    <w:p>
      <w:pPr>
        <w:spacing w:after="0" w:line="13" w:lineRule="exact"/>
        <w:rPr>
          <w:rFonts w:ascii="Arial" w:cs="Arial" w:eastAsia="Arial" w:hAnsi="Arial"/>
          <w:sz w:val="14"/>
          <w:szCs w:val="14"/>
          <w:color w:val="auto"/>
        </w:rPr>
      </w:pPr>
    </w:p>
    <w:p>
      <w:pPr>
        <w:ind w:left="620" w:hanging="506"/>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Adjustment removes the impact of the equity method income from the Company's minority investment in SYNLAB.</w:t>
      </w:r>
    </w:p>
    <w:p>
      <w:pPr>
        <w:spacing w:after="0" w:line="41" w:lineRule="exact"/>
        <w:rPr>
          <w:rFonts w:ascii="Arial" w:cs="Arial" w:eastAsia="Arial" w:hAnsi="Arial"/>
          <w:sz w:val="14"/>
          <w:szCs w:val="14"/>
          <w:color w:val="auto"/>
        </w:rPr>
      </w:pPr>
    </w:p>
    <w:p>
      <w:pPr>
        <w:ind w:left="620" w:hanging="506"/>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Income tax impact of adjustments calculated based on the tax rate applicable to each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sectPr>
      <w:pgSz w:w="11900" w:h="16838" w:orient="portrait"/>
      <w:cols w:equalWidth="0" w:num="1">
        <w:col w:w="11220"/>
      </w:cols>
      <w:pgMar w:left="34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
      <w:numFmt w:val="bullet"/>
      <w:start w:val="1"/>
    </w:lvl>
    <w:lvl w:ilvl="1">
      <w:lvlJc w:val="left"/>
      <w:lvlText w:val="(%2)"/>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4"/>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4"/>
    </w:lvl>
  </w:abstractNum>
  <w:abstractNum w:abstractNumId="14">
    <w:nsid w:val="6B68079A"/>
    <w:multiLevelType w:val="hybridMultilevel"/>
    <w:lvl w:ilvl="0">
      <w:lvlJc w:val="left"/>
      <w:lvlText w:val="(%1)"/>
      <w:numFmt w:val="decimal"/>
      <w:start w:val="7"/>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2026-04-30T05:58:27Z</dcterms:created>
  <dcterms:modified xsi:type="dcterms:W3CDTF">2026-04-30T05:58:27Z</dcterms:modified>
</cp:coreProperties>
</file>