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KERRII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831"/>
        <w:gridCol w:w="443"/>
        <w:gridCol w:w="836"/>
        <w:gridCol w:w="1143"/>
        <w:gridCol w:w="983"/>
        <w:gridCol w:w="10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318.02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6,563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Alexa M. Anderson Separate Trust</w:t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Cameron Taff Anderson Separate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a plan in accordance with Rule 10b5-1 under the Securities Exchange Act of 1934, as amended.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 Attorney-in-Fact for Kerrii B. Anderson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7159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3258</Characters>
  <CharactersWithSpaces>3788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