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May 21, 2026</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LABCORP HOLDINGS INC.</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680" w:type="dxa"/>
            <w:vAlign w:val="bottom"/>
            <w:gridSpan w:val="7"/>
          </w:tcPr>
          <w:p>
            <w:pPr>
              <w:jc w:val="center"/>
              <w:ind w:left="3470"/>
              <w:spacing w:after="0"/>
              <w:rPr>
                <w:sz w:val="20"/>
                <w:szCs w:val="20"/>
                <w:color w:val="auto"/>
              </w:rPr>
            </w:pPr>
            <w:r>
              <w:rPr>
                <w:rFonts w:ascii="Times New Roman" w:cs="Times New Roman" w:eastAsia="Times New Roman" w:hAnsi="Times New Roman"/>
                <w:sz w:val="18"/>
                <w:szCs w:val="18"/>
                <w:color w:val="auto"/>
                <w:w w:val="99"/>
              </w:rPr>
              <w:t>(Exact Name of Registrant as Specified in its Charter)</w:t>
            </w:r>
          </w:p>
        </w:tc>
        <w:tc>
          <w:tcPr>
            <w:tcW w:w="3560" w:type="dxa"/>
            <w:vAlign w:val="bottom"/>
          </w:tcPr>
          <w:p>
            <w:pPr>
              <w:spacing w:after="0"/>
              <w:rPr>
                <w:sz w:val="20"/>
                <w:szCs w:val="20"/>
                <w:color w:val="auto"/>
              </w:rPr>
            </w:pPr>
          </w:p>
        </w:tc>
      </w:tr>
      <w:tr>
        <w:trPr>
          <w:trHeight w:val="344"/>
        </w:trPr>
        <w:tc>
          <w:tcPr>
            <w:tcW w:w="4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5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1-11353</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60" w:type="dxa"/>
            <w:vAlign w:val="bottom"/>
          </w:tcPr>
          <w:p>
            <w:pPr>
              <w:jc w:val="right"/>
              <w:ind w:right="1610"/>
              <w:spacing w:after="0"/>
              <w:rPr>
                <w:sz w:val="20"/>
                <w:szCs w:val="20"/>
                <w:color w:val="auto"/>
              </w:rPr>
            </w:pPr>
            <w:r>
              <w:rPr>
                <w:rFonts w:ascii="Times New Roman" w:cs="Times New Roman" w:eastAsia="Times New Roman" w:hAnsi="Times New Roman"/>
                <w:sz w:val="18"/>
                <w:szCs w:val="18"/>
                <w:b w:val="1"/>
                <w:bCs w:val="1"/>
                <w:color w:val="auto"/>
              </w:rPr>
              <w:t>99-2588107</w:t>
            </w:r>
          </w:p>
        </w:tc>
      </w:tr>
      <w:tr>
        <w:trPr>
          <w:trHeight w:val="234"/>
        </w:trPr>
        <w:tc>
          <w:tcPr>
            <w:tcW w:w="4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100" w:type="dxa"/>
            <w:vAlign w:val="bottom"/>
          </w:tcPr>
          <w:p>
            <w:pPr>
              <w:spacing w:after="0"/>
              <w:rPr>
                <w:sz w:val="20"/>
                <w:szCs w:val="20"/>
                <w:color w:val="auto"/>
              </w:rPr>
            </w:pPr>
          </w:p>
        </w:tc>
        <w:tc>
          <w:tcPr>
            <w:tcW w:w="25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8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356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580"/>
        </w:trPr>
        <w:tc>
          <w:tcPr>
            <w:tcW w:w="4340" w:type="dxa"/>
            <w:vAlign w:val="bottom"/>
            <w:gridSpan w:val="2"/>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358 South Main Street</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45"/>
        </w:trPr>
        <w:tc>
          <w:tcPr>
            <w:tcW w:w="4340" w:type="dxa"/>
            <w:vAlign w:val="bottom"/>
            <w:tcBorders>
              <w:bottom w:val="single" w:sz="8" w:color="auto"/>
            </w:tcBorders>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Burlington , North Carolina</w:t>
            </w:r>
          </w:p>
        </w:tc>
        <w:tc>
          <w:tcPr>
            <w:tcW w:w="1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27215</w:t>
            </w:r>
          </w:p>
        </w:tc>
      </w:tr>
      <w:tr>
        <w:trPr>
          <w:trHeight w:val="234"/>
        </w:trPr>
        <w:tc>
          <w:tcPr>
            <w:tcW w:w="4340" w:type="dxa"/>
            <w:vAlign w:val="bottom"/>
            <w:gridSpan w:val="2"/>
          </w:tcPr>
          <w:p>
            <w:pPr>
              <w:jc w:val="center"/>
              <w:ind w:left="11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560" w:type="dxa"/>
            <w:vAlign w:val="bottom"/>
          </w:tcPr>
          <w:p>
            <w:pPr>
              <w:jc w:val="center"/>
              <w:ind w:right="18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336-229-1127</w:t>
      </w:r>
    </w:p>
    <w:p>
      <w:pPr>
        <w:spacing w:after="0" w:line="12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38"/>
        </w:trPr>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$0.10 par value</w:t>
            </w:r>
          </w:p>
        </w:tc>
        <w:tc>
          <w:tcPr>
            <w:tcW w:w="100" w:type="dxa"/>
            <w:vAlign w:val="bottom"/>
          </w:tcPr>
          <w:p>
            <w:pPr>
              <w:spacing w:after="0"/>
              <w:rPr>
                <w:sz w:val="20"/>
                <w:szCs w:val="20"/>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LH</w:t>
            </w:r>
          </w:p>
        </w:tc>
        <w:tc>
          <w:tcPr>
            <w:tcW w:w="80" w:type="dxa"/>
            <w:vAlign w:val="bottom"/>
          </w:tcPr>
          <w:p>
            <w:pPr>
              <w:spacing w:after="0"/>
              <w:rPr>
                <w:sz w:val="20"/>
                <w:szCs w:val="20"/>
                <w:color w:val="auto"/>
              </w:rPr>
            </w:pPr>
          </w:p>
        </w:tc>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21"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ind w:left="2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9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of March 26, 2026, the date of record for determining the shareholders of Labcorp Holdings Inc. (the “Company”) entitled to vote on the proposals presented at the Company’s 2026 Annual Meeting of the Shareholders (the “Annual Meeting”), there were 82,187,046 shares of the Company’s common stock issued and outstanding and entitled to vote at the Annual Meeting. The holders of 76,382,627 shares of the Company’s issued and outstanding common stock were represented in person or by proxy at the Annual Meeting, constituting a quorum. The proposals presented at the Annual Meeting are described in detail in the Company’s definitive proxy statement filed with the Securities and Exchange Commission on April 10, 2026 (the “Proxy Statement”). The vote results detailed below represent final results as certified by the Inspector of Elections.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1.</w:t>
      </w:r>
    </w:p>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shareholders elected the following persons, who were listed in the Proxy Statement, to the Board of Directors of the Company (the “Board”) to hold office for the term expiring at the 2027 Annual Meeting of Shareholders or until their successors are elected and qualified or until their earlier death, resignation, or removal:</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7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7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3"/>
        </w:trPr>
        <w:tc>
          <w:tcPr>
            <w:tcW w:w="4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Adam H. Schechter</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65,401,337</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4,958,626</w:t>
            </w:r>
          </w:p>
        </w:tc>
        <w:tc>
          <w:tcPr>
            <w:tcW w:w="240" w:type="dxa"/>
            <w:vAlign w:val="bottom"/>
            <w:shd w:val="clear" w:color="auto" w:fill="CCEEFF"/>
          </w:tcPr>
          <w:p>
            <w:pPr>
              <w:spacing w:after="0"/>
              <w:rPr>
                <w:sz w:val="21"/>
                <w:szCs w:val="21"/>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199,252</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5,823,412</w:t>
            </w:r>
          </w:p>
        </w:tc>
      </w:tr>
      <w:tr>
        <w:trPr>
          <w:trHeight w:val="25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Kerrii B. Anderson</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65,239,780</w:t>
            </w:r>
          </w:p>
        </w:tc>
        <w:tc>
          <w:tcPr>
            <w:tcW w:w="24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5,292,331</w:t>
            </w:r>
          </w:p>
        </w:tc>
        <w:tc>
          <w:tcPr>
            <w:tcW w:w="24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27,104</w:t>
            </w:r>
          </w:p>
        </w:tc>
        <w:tc>
          <w:tcPr>
            <w:tcW w:w="24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5,823,412</w:t>
            </w:r>
          </w:p>
        </w:tc>
      </w:tr>
      <w:tr>
        <w:trPr>
          <w:trHeight w:val="26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Victor Bulto</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70,498,948</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34,977</w:t>
            </w:r>
          </w:p>
        </w:tc>
        <w:tc>
          <w:tcPr>
            <w:tcW w:w="240" w:type="dxa"/>
            <w:vAlign w:val="bottom"/>
            <w:shd w:val="clear" w:color="auto" w:fill="CCEEFF"/>
          </w:tcPr>
          <w:p>
            <w:pPr>
              <w:spacing w:after="0"/>
              <w:rPr>
                <w:sz w:val="22"/>
                <w:szCs w:val="22"/>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25,290</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5,823,412</w:t>
            </w:r>
          </w:p>
        </w:tc>
      </w:tr>
      <w:tr>
        <w:trPr>
          <w:trHeight w:val="25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A. Davis</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70,478,919</w:t>
            </w:r>
          </w:p>
        </w:tc>
        <w:tc>
          <w:tcPr>
            <w:tcW w:w="24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56,436</w:t>
            </w:r>
          </w:p>
        </w:tc>
        <w:tc>
          <w:tcPr>
            <w:tcW w:w="24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23,860</w:t>
            </w:r>
          </w:p>
        </w:tc>
        <w:tc>
          <w:tcPr>
            <w:tcW w:w="24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5,823,412</w:t>
            </w:r>
          </w:p>
        </w:tc>
      </w:tr>
      <w:tr>
        <w:trPr>
          <w:trHeight w:val="26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Kirsten M. Kliphouse</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70,499,628</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36,211</w:t>
            </w:r>
          </w:p>
        </w:tc>
        <w:tc>
          <w:tcPr>
            <w:tcW w:w="240" w:type="dxa"/>
            <w:vAlign w:val="bottom"/>
            <w:shd w:val="clear" w:color="auto" w:fill="CCEEFF"/>
          </w:tcPr>
          <w:p>
            <w:pPr>
              <w:spacing w:after="0"/>
              <w:rPr>
                <w:sz w:val="22"/>
                <w:szCs w:val="22"/>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23,376</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5,823,412</w:t>
            </w:r>
          </w:p>
        </w:tc>
      </w:tr>
      <w:tr>
        <w:trPr>
          <w:trHeight w:val="25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Garheng Kong, M.D., Ph.D.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50,153,535</w:t>
            </w:r>
          </w:p>
        </w:tc>
        <w:tc>
          <w:tcPr>
            <w:tcW w:w="24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20,110,931</w:t>
            </w:r>
          </w:p>
        </w:tc>
        <w:tc>
          <w:tcPr>
            <w:tcW w:w="24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294,749</w:t>
            </w:r>
          </w:p>
        </w:tc>
        <w:tc>
          <w:tcPr>
            <w:tcW w:w="24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5,823,412</w:t>
            </w:r>
          </w:p>
        </w:tc>
      </w:tr>
      <w:tr>
        <w:trPr>
          <w:trHeight w:val="26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Peter M. Neupert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65,976,598</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4,555,882</w:t>
            </w:r>
          </w:p>
        </w:tc>
        <w:tc>
          <w:tcPr>
            <w:tcW w:w="240" w:type="dxa"/>
            <w:vAlign w:val="bottom"/>
            <w:shd w:val="clear" w:color="auto" w:fill="CCEEFF"/>
          </w:tcPr>
          <w:p>
            <w:pPr>
              <w:spacing w:after="0"/>
              <w:rPr>
                <w:sz w:val="22"/>
                <w:szCs w:val="22"/>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26,735</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5,823,412</w:t>
            </w:r>
          </w:p>
        </w:tc>
      </w:tr>
      <w:tr>
        <w:trPr>
          <w:trHeight w:val="25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Richelle P. Parham</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67,776,302</w:t>
            </w:r>
          </w:p>
        </w:tc>
        <w:tc>
          <w:tcPr>
            <w:tcW w:w="24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2,757,710</w:t>
            </w:r>
          </w:p>
        </w:tc>
        <w:tc>
          <w:tcPr>
            <w:tcW w:w="24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25,203</w:t>
            </w:r>
          </w:p>
        </w:tc>
        <w:tc>
          <w:tcPr>
            <w:tcW w:w="24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5,823,412</w:t>
            </w:r>
          </w:p>
        </w:tc>
      </w:tr>
      <w:tr>
        <w:trPr>
          <w:trHeight w:val="26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 B. Rothman, M.D.</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70,194,447</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340,176</w:t>
            </w:r>
          </w:p>
        </w:tc>
        <w:tc>
          <w:tcPr>
            <w:tcW w:w="240" w:type="dxa"/>
            <w:vAlign w:val="bottom"/>
            <w:shd w:val="clear" w:color="auto" w:fill="CCEEFF"/>
          </w:tcPr>
          <w:p>
            <w:pPr>
              <w:spacing w:after="0"/>
              <w:rPr>
                <w:sz w:val="22"/>
                <w:szCs w:val="22"/>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24,592</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5,823,412</w:t>
            </w:r>
          </w:p>
        </w:tc>
      </w:tr>
      <w:tr>
        <w:trPr>
          <w:trHeight w:val="25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 Sampson, M.D., Ph.D.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70,465,205</w:t>
            </w:r>
          </w:p>
        </w:tc>
        <w:tc>
          <w:tcPr>
            <w:tcW w:w="24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70,221</w:t>
            </w:r>
          </w:p>
        </w:tc>
        <w:tc>
          <w:tcPr>
            <w:tcW w:w="24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23,789</w:t>
            </w:r>
          </w:p>
        </w:tc>
        <w:tc>
          <w:tcPr>
            <w:tcW w:w="24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5,823,412</w:t>
            </w:r>
          </w:p>
        </w:tc>
      </w:tr>
      <w:tr>
        <w:trPr>
          <w:trHeight w:val="26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Kathryn E. Wengel</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70,186,853</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348,897</w:t>
            </w:r>
          </w:p>
        </w:tc>
        <w:tc>
          <w:tcPr>
            <w:tcW w:w="240" w:type="dxa"/>
            <w:vAlign w:val="bottom"/>
            <w:shd w:val="clear" w:color="auto" w:fill="CCEEFF"/>
          </w:tcPr>
          <w:p>
            <w:pPr>
              <w:spacing w:after="0"/>
              <w:rPr>
                <w:sz w:val="22"/>
                <w:szCs w:val="22"/>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23,465</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5,823,412</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2.</w:t>
      </w:r>
    </w:p>
    <w:p>
      <w:pPr>
        <w:spacing w:after="0" w:line="117"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The Company’s shareholders approved in an advisory (non-binding) vote, the compensation of the Company’s named executive officers. The votes regarding this proposal were as follows:</w:t>
      </w:r>
    </w:p>
    <w:p>
      <w:pPr>
        <w:spacing w:after="0" w:line="250" w:lineRule="exact"/>
        <w:rPr>
          <w:sz w:val="20"/>
          <w:szCs w:val="20"/>
          <w:color w:val="auto"/>
        </w:rPr>
      </w:pPr>
    </w:p>
    <w:tbl>
      <w:tblPr>
        <w:tblLayout w:type="fixed"/>
        <w:tblInd w:w="2580" w:type="dxa"/>
        <w:tblCellMar>
          <w:top w:w="0" w:type="dxa"/>
          <w:left w:w="0" w:type="dxa"/>
          <w:bottom w:w="0" w:type="dxa"/>
          <w:right w:w="0" w:type="dxa"/>
        </w:tblCellMar>
      </w:tblPr>
      <w:tr>
        <w:trPr>
          <w:trHeight w:val="190"/>
        </w:trPr>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3"/>
        </w:trPr>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8"/>
        </w:trPr>
        <w:tc>
          <w:tcPr>
            <w:tcW w:w="15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66,519,291</w:t>
            </w:r>
          </w:p>
        </w:tc>
        <w:tc>
          <w:tcPr>
            <w:tcW w:w="156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3,735,777</w:t>
            </w:r>
          </w:p>
        </w:tc>
        <w:tc>
          <w:tcPr>
            <w:tcW w:w="142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304,147</w:t>
            </w:r>
          </w:p>
        </w:tc>
        <w:tc>
          <w:tcPr>
            <w:tcW w:w="162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rPr>
              <w:t>5,823,412</w:t>
            </w:r>
          </w:p>
        </w:tc>
      </w:tr>
      <w:tr>
        <w:trPr>
          <w:trHeight w:val="22"/>
        </w:trPr>
        <w:tc>
          <w:tcPr>
            <w:tcW w:w="15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3.</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shareholders ratified the appointment of Deloitte &amp; Touche LLP as the Company’s independent registered public accounting firm for the year ending December 31, 2026. The votes regarding this proposal were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4180" w:type="dxa"/>
            <w:vAlign w:val="bottom"/>
            <w:gridSpan w:val="2"/>
          </w:tcPr>
          <w:p>
            <w:pPr>
              <w:jc w:val="center"/>
              <w:ind w:right="248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3"/>
        </w:trPr>
        <w:tc>
          <w:tcPr>
            <w:tcW w:w="408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180" w:type="dxa"/>
            <w:vAlign w:val="bottom"/>
            <w:gridSpan w:val="2"/>
          </w:tcPr>
          <w:p>
            <w:pPr>
              <w:spacing w:after="0"/>
              <w:rPr>
                <w:sz w:val="2"/>
                <w:szCs w:val="2"/>
                <w:color w:val="auto"/>
              </w:rPr>
            </w:pPr>
          </w:p>
        </w:tc>
      </w:tr>
      <w:tr>
        <w:trPr>
          <w:trHeight w:val="230"/>
        </w:trPr>
        <w:tc>
          <w:tcPr>
            <w:tcW w:w="2580" w:type="dxa"/>
            <w:vAlign w:val="bottom"/>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76,291,589</w:t>
            </w:r>
          </w:p>
        </w:tc>
        <w:tc>
          <w:tcPr>
            <w:tcW w:w="1560" w:type="dxa"/>
            <w:vAlign w:val="bottom"/>
            <w:tcBorders>
              <w:top w:val="single" w:sz="8" w:color="auto"/>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53,650</w:t>
            </w:r>
          </w:p>
        </w:tc>
        <w:tc>
          <w:tcPr>
            <w:tcW w:w="1420" w:type="dxa"/>
            <w:vAlign w:val="bottom"/>
            <w:tcBorders>
              <w:top w:val="single" w:sz="8" w:color="auto"/>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37,388</w:t>
            </w:r>
          </w:p>
        </w:tc>
        <w:tc>
          <w:tcPr>
            <w:tcW w:w="16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560" w:type="dxa"/>
            <w:vAlign w:val="bottom"/>
          </w:tcPr>
          <w:p>
            <w:pPr>
              <w:spacing w:after="0"/>
              <w:rPr>
                <w:sz w:val="20"/>
                <w:szCs w:val="20"/>
                <w:color w:val="auto"/>
              </w:rPr>
            </w:pPr>
          </w:p>
        </w:tc>
      </w:tr>
      <w:tr>
        <w:trPr>
          <w:trHeight w:val="965"/>
        </w:trPr>
        <w:tc>
          <w:tcPr>
            <w:tcW w:w="25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LABCORP HOLDINGS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17" w:lineRule="exact"/>
        <w:rPr>
          <w:sz w:val="20"/>
          <w:szCs w:val="20"/>
          <w:color w:val="auto"/>
        </w:rPr>
      </w:pPr>
    </w:p>
    <w:p>
      <w:pPr>
        <w:ind w:left="20"/>
        <w:spacing w:after="0"/>
        <w:tabs>
          <w:tab w:leader="none" w:pos="5020" w:val="left"/>
          <w:tab w:leader="none" w:pos="5740" w:val="left"/>
        </w:tabs>
        <w:rPr>
          <w:sz w:val="20"/>
          <w:szCs w:val="20"/>
          <w:color w:val="auto"/>
        </w:rPr>
      </w:pPr>
      <w:r>
        <w:rPr>
          <w:rFonts w:ascii="Times New Roman" w:cs="Times New Roman" w:eastAsia="Times New Roman" w:hAnsi="Times New Roman"/>
          <w:sz w:val="18"/>
          <w:szCs w:val="18"/>
          <w:color w:val="auto"/>
        </w:rPr>
        <w:t>Date: May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KATHRYN W. KYLE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721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72180" cy="17145"/>
                    </a:xfrm>
                    <a:prstGeom prst="rect">
                      <a:avLst/>
                    </a:prstGeom>
                    <a:noFill/>
                  </pic:spPr>
                </pic:pic>
              </a:graphicData>
            </a:graphic>
          </wp:anchor>
        </w:drawing>
      </w:r>
    </w:p>
    <w:p>
      <w:pPr>
        <w:spacing w:after="0" w:line="3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Kathryn W. Kyle</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Executive Vice President, Chief Legal Officer and Corporate Secretary</w:t>
      </w:r>
    </w:p>
    <w:sectPr>
      <w:pgSz w:w="11900" w:h="16838" w:orient="portrait"/>
      <w:cols w:equalWidth="0" w:num="1">
        <w:col w:w="11200"/>
      </w:cols>
      <w:pgMar w:left="320" w:top="88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2026-05-26T15:10:23Z</dcterms:created>
  <dcterms:modified xsi:type="dcterms:W3CDTF">2026-05-26T15:10:23Z</dcterms:modified>
</cp:coreProperties>
</file>