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422275</wp:posOffset>
            </wp:positionV>
            <wp:extent cx="7099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935"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380365</wp:posOffset>
            </wp:positionV>
            <wp:extent cx="70999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99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41" w:lineRule="exact"/>
        <w:rPr>
          <w:sz w:val="24"/>
          <w:szCs w:val="24"/>
          <w:color w:val="auto"/>
        </w:rPr>
      </w:pPr>
    </w:p>
    <w:p>
      <w:pPr>
        <w:ind w:left="4020" w:right="2440" w:hanging="1580"/>
        <w:spacing w:after="0" w:line="371" w:lineRule="auto"/>
        <w:tabs>
          <w:tab w:leader="none" w:pos="26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2024</w:t>
      </w:r>
    </w:p>
    <w:p>
      <w:pPr>
        <w:ind w:left="55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13" w:lineRule="exact"/>
        <w:rPr>
          <w:rFonts w:ascii="MS PGothic" w:cs="MS PGothic" w:eastAsia="MS PGothic" w:hAnsi="MS PGothic"/>
          <w:sz w:val="18"/>
          <w:szCs w:val="18"/>
          <w:color w:val="auto"/>
        </w:rPr>
      </w:pPr>
    </w:p>
    <w:p>
      <w:pPr>
        <w:ind w:left="3880" w:right="2360" w:hanging="1506"/>
        <w:spacing w:after="0" w:line="371" w:lineRule="auto"/>
        <w:tabs>
          <w:tab w:leader="none" w:pos="25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- 1-11353</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LABCORP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5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99-2588107</w:t>
            </w:r>
          </w:p>
        </w:tc>
      </w:tr>
      <w:tr>
        <w:trPr>
          <w:trHeight w:val="232"/>
        </w:trPr>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19"/>
        </w:trPr>
        <w:tc>
          <w:tcPr>
            <w:tcW w:w="56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358 South Main Street</w:t>
            </w:r>
          </w:p>
        </w:tc>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43"/>
        </w:trPr>
        <w:tc>
          <w:tcPr>
            <w:tcW w:w="566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27215</w:t>
            </w:r>
          </w:p>
        </w:tc>
      </w:tr>
      <w:tr>
        <w:trPr>
          <w:trHeight w:val="232"/>
        </w:trPr>
        <w:tc>
          <w:tcPr>
            <w:tcW w:w="5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336-229-1127</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40"/>
        </w:trPr>
        <w:tc>
          <w:tcPr>
            <w:tcW w:w="4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exchange on which registered</w:t>
            </w:r>
          </w:p>
        </w:tc>
      </w:tr>
      <w:tr>
        <w:trPr>
          <w:trHeight w:val="232"/>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$0.10 par value</w:t>
            </w:r>
          </w:p>
        </w:tc>
        <w:tc>
          <w:tcPr>
            <w:tcW w:w="8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LH</w:t>
            </w:r>
          </w:p>
        </w:tc>
        <w:tc>
          <w:tcPr>
            <w:tcW w:w="10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9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2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6" w:lineRule="exact"/>
        <w:rPr>
          <w:sz w:val="24"/>
          <w:szCs w:val="24"/>
          <w:color w:val="auto"/>
        </w:rPr>
      </w:pPr>
    </w:p>
    <w:p>
      <w:pPr>
        <w:spacing w:after="0" w:line="237" w:lineRule="exact"/>
        <w:rPr>
          <w:sz w:val="20"/>
          <w:szCs w:val="20"/>
          <w:color w:val="auto"/>
        </w:rPr>
      </w:pPr>
      <w:r>
        <w:rPr>
          <w:rFonts w:ascii="Times New Roman" w:cs="Times New Roman" w:eastAsia="Times New Roman" w:hAnsi="Times New Roman"/>
          <w:sz w:val="18"/>
          <w:szCs w:val="18"/>
          <w:color w:val="auto"/>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2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88"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June 28, 2024, the aggregate market value of the voting and non-voting common equity held by non-affiliates of the registrant computed by reference to the closing price as of the last business day of the registrant’s most recently completed second fiscal quarter was was approximately $16.4 billion.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24, 2025, there were 83.7 million shares of the registrant’s common stock, $0.10 par value, outstanding.</w:t>
      </w:r>
    </w:p>
    <w:p>
      <w:pPr>
        <w:spacing w:after="0" w:line="1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Portions of the Registrant’s Notice of Annual Meeting and Proxy Statement to be filed no later than 120 days following December 31, 2024,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41"/>
        </w:trPr>
        <w:tc>
          <w:tcPr>
            <w:tcW w:w="42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gridSpan w:val="18"/>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07"/>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3"/>
          </w:tcPr>
          <w:p>
            <w:pPr>
              <w:jc w:val="center"/>
              <w:ind w:right="4120"/>
              <w:spacing w:after="0"/>
              <w:rPr>
                <w:sz w:val="20"/>
                <w:szCs w:val="20"/>
                <w:color w:val="auto"/>
              </w:rPr>
            </w:pPr>
            <w:r>
              <w:rPr>
                <w:rFonts w:ascii="Times New Roman" w:cs="Times New Roman" w:eastAsia="Times New Roman" w:hAnsi="Times New Roman"/>
                <w:sz w:val="18"/>
                <w:szCs w:val="18"/>
                <w:b w:val="1"/>
                <w:bCs w:val="1"/>
                <w:color w:val="0000FF"/>
                <w:w w:val="96"/>
              </w:rPr>
              <w:t>Part I</w:t>
            </w: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460" w:type="dxa"/>
            <w:vAlign w:val="bottom"/>
            <w:gridSpan w:val="18"/>
          </w:tcPr>
          <w:p>
            <w:pPr>
              <w:spacing w:after="0"/>
              <w:rPr>
                <w:sz w:val="17"/>
                <w:szCs w:val="17"/>
                <w:color w:val="auto"/>
              </w:rPr>
            </w:pPr>
          </w:p>
        </w:tc>
        <w:tc>
          <w:tcPr>
            <w:tcW w:w="440" w:type="dxa"/>
            <w:vAlign w:val="bottom"/>
            <w:tcBorders>
              <w:top w:val="single" w:sz="8" w:color="0000FF"/>
            </w:tcBorders>
            <w:gridSpan w:val="2"/>
          </w:tcPr>
          <w:p>
            <w:pPr>
              <w:spacing w:after="0"/>
              <w:rPr>
                <w:sz w:val="17"/>
                <w:szCs w:val="17"/>
                <w:color w:val="auto"/>
              </w:rPr>
            </w:pPr>
          </w:p>
        </w:tc>
        <w:tc>
          <w:tcPr>
            <w:tcW w:w="4120" w:type="dxa"/>
            <w:vAlign w:val="bottom"/>
            <w:gridSpan w:val="11"/>
          </w:tcPr>
          <w:p>
            <w:pPr>
              <w:spacing w:after="0"/>
              <w:rPr>
                <w:sz w:val="17"/>
                <w:szCs w:val="17"/>
                <w:color w:val="auto"/>
              </w:rPr>
            </w:pPr>
          </w:p>
        </w:tc>
        <w:tc>
          <w:tcPr>
            <w:tcW w:w="600" w:type="dxa"/>
            <w:vAlign w:val="bottom"/>
            <w:gridSpan w:val="3"/>
          </w:tcPr>
          <w:p>
            <w:pPr>
              <w:jc w:val="center"/>
              <w:ind w:left="431"/>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760" w:type="dxa"/>
            <w:vAlign w:val="bottom"/>
            <w:gridSpan w:val="27"/>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29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1020" w:type="dxa"/>
            <w:vAlign w:val="bottom"/>
            <w:gridSpan w:val="6"/>
          </w:tcPr>
          <w:p>
            <w:pPr>
              <w:spacing w:after="0"/>
              <w:rPr>
                <w:sz w:val="17"/>
                <w:szCs w:val="17"/>
                <w:color w:val="auto"/>
              </w:rPr>
            </w:pPr>
          </w:p>
        </w:tc>
        <w:tc>
          <w:tcPr>
            <w:tcW w:w="6640" w:type="dxa"/>
            <w:vAlign w:val="bottom"/>
            <w:gridSpan w:val="20"/>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80" w:type="dxa"/>
            <w:vAlign w:val="bottom"/>
            <w:gridSpan w:val="4"/>
          </w:tcPr>
          <w:p>
            <w:pPr>
              <w:spacing w:after="0"/>
              <w:rPr>
                <w:sz w:val="17"/>
                <w:szCs w:val="17"/>
                <w:color w:val="auto"/>
              </w:rPr>
            </w:pPr>
          </w:p>
        </w:tc>
        <w:tc>
          <w:tcPr>
            <w:tcW w:w="7660" w:type="dxa"/>
            <w:vAlign w:val="bottom"/>
            <w:gridSpan w:val="26"/>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340" w:type="dxa"/>
            <w:vAlign w:val="bottom"/>
            <w:gridSpan w:val="24"/>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14"/>
          </w:tcPr>
          <w:p>
            <w:pPr>
              <w:jc w:val="center"/>
              <w:ind w:right="4080"/>
              <w:spacing w:after="0"/>
              <w:rPr>
                <w:sz w:val="20"/>
                <w:szCs w:val="20"/>
                <w:color w:val="auto"/>
              </w:rPr>
            </w:pPr>
            <w:r>
              <w:rPr>
                <w:rFonts w:ascii="Times New Roman" w:cs="Times New Roman" w:eastAsia="Times New Roman" w:hAnsi="Times New Roman"/>
                <w:sz w:val="18"/>
                <w:szCs w:val="18"/>
                <w:b w:val="1"/>
                <w:bCs w:val="1"/>
                <w:color w:val="0000FF"/>
                <w:w w:val="95"/>
              </w:rPr>
              <w:t>Part II</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7240" w:type="dxa"/>
            <w:vAlign w:val="bottom"/>
            <w:gridSpan w:val="27"/>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49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80" w:type="dxa"/>
            <w:vAlign w:val="bottom"/>
            <w:gridSpan w:val="4"/>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58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60" w:type="dxa"/>
            <w:vAlign w:val="bottom"/>
            <w:gridSpan w:val="12"/>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260" w:type="dxa"/>
            <w:vAlign w:val="bottom"/>
            <w:gridSpan w:val="3"/>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64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260" w:type="dxa"/>
            <w:vAlign w:val="bottom"/>
            <w:gridSpan w:val="3"/>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17"/>
                <w:szCs w:val="17"/>
                <w:color w:val="auto"/>
              </w:rPr>
            </w:pPr>
          </w:p>
        </w:tc>
        <w:tc>
          <w:tcPr>
            <w:tcW w:w="6920" w:type="dxa"/>
            <w:vAlign w:val="bottom"/>
            <w:gridSpan w:val="22"/>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8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3820" w:type="dxa"/>
            <w:vAlign w:val="bottom"/>
            <w:gridSpan w:val="7"/>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00" w:type="dxa"/>
            <w:vAlign w:val="bottom"/>
            <w:tcBorders>
              <w:top w:val="single" w:sz="8" w:color="0000FF"/>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7"/>
              </w:rPr>
              <w:t>Part III</w:t>
            </w:r>
          </w:p>
        </w:tc>
        <w:tc>
          <w:tcPr>
            <w:tcW w:w="200" w:type="dxa"/>
            <w:vAlign w:val="bottom"/>
            <w:tcBorders>
              <w:top w:val="single" w:sz="8" w:color="0000FF"/>
            </w:tcBorders>
          </w:tcPr>
          <w:p>
            <w:pPr>
              <w:spacing w:after="0"/>
              <w:rPr>
                <w:sz w:val="24"/>
                <w:szCs w:val="24"/>
                <w:color w:val="auto"/>
              </w:rPr>
            </w:pPr>
          </w:p>
        </w:tc>
        <w:tc>
          <w:tcPr>
            <w:tcW w:w="382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4580" w:type="dxa"/>
            <w:vAlign w:val="bottom"/>
            <w:gridSpan w:val="14"/>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580" w:type="dxa"/>
            <w:vAlign w:val="bottom"/>
            <w:gridSpan w:val="14"/>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28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040" w:type="dxa"/>
            <w:vAlign w:val="bottom"/>
            <w:gridSpan w:val="9"/>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404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5560" w:type="dxa"/>
            <w:vAlign w:val="bottom"/>
            <w:tcBorders>
              <w:left w:val="single" w:sz="8" w:color="0000FF"/>
            </w:tcBorders>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3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560" w:type="dxa"/>
            <w:vAlign w:val="bottom"/>
            <w:gridSpan w:val="18"/>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360" w:type="dxa"/>
            <w:vAlign w:val="bottom"/>
            <w:gridSpan w:val="11"/>
            <w:shd w:val="clear" w:color="auto" w:fill="0000FF"/>
          </w:tcPr>
          <w:p>
            <w:pPr>
              <w:spacing w:after="0" w:line="20" w:lineRule="exact"/>
              <w:rPr>
                <w:sz w:val="1"/>
                <w:szCs w:val="1"/>
                <w:color w:val="auto"/>
              </w:rPr>
            </w:pPr>
          </w:p>
        </w:tc>
        <w:tc>
          <w:tcPr>
            <w:tcW w:w="556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560" w:type="dxa"/>
            <w:vAlign w:val="bottom"/>
            <w:gridSpan w:val="18"/>
          </w:tcPr>
          <w:p>
            <w:pPr>
              <w:spacing w:after="0"/>
              <w:rPr>
                <w:sz w:val="17"/>
                <w:szCs w:val="17"/>
                <w:color w:val="auto"/>
              </w:rPr>
            </w:pPr>
          </w:p>
        </w:tc>
        <w:tc>
          <w:tcPr>
            <w:tcW w:w="60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88"/>
              </w:rPr>
              <w:t>68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00" w:type="dxa"/>
            <w:vAlign w:val="bottom"/>
            <w:gridSpan w:val="14"/>
            <w:shd w:val="clear" w:color="auto" w:fill="0000FF"/>
          </w:tcPr>
          <w:p>
            <w:pPr>
              <w:spacing w:after="0" w:line="20" w:lineRule="exact"/>
              <w:rPr>
                <w:sz w:val="1"/>
                <w:szCs w:val="1"/>
                <w:color w:val="auto"/>
              </w:rPr>
            </w:pPr>
          </w:p>
        </w:tc>
        <w:tc>
          <w:tcPr>
            <w:tcW w:w="556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07"/>
        </w:trPr>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114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0000FF"/>
                <w:w w:val="95"/>
              </w:rPr>
              <w:t>F-1</w:t>
            </w:r>
          </w:p>
        </w:tc>
      </w:tr>
      <w:tr>
        <w:trPr>
          <w:trHeight w:val="981"/>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tcBorders>
              <w:top w:val="single" w:sz="8" w:color="0000FF"/>
            </w:tcBorders>
            <w:gridSpan w:val="14"/>
          </w:tcPr>
          <w:p>
            <w:pPr>
              <w:spacing w:after="0"/>
              <w:rPr>
                <w:sz w:val="24"/>
                <w:szCs w:val="24"/>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4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7" w:lineRule="exact"/>
        <w:rPr>
          <w:sz w:val="20"/>
          <w:szCs w:val="20"/>
          <w:color w:val="auto"/>
        </w:rPr>
      </w:pPr>
    </w:p>
    <w:p>
      <w:pPr>
        <w:jc w:val="both"/>
        <w:ind w:firstLine="280"/>
        <w:spacing w:after="0" w:line="243" w:lineRule="auto"/>
        <w:rPr>
          <w:sz w:val="20"/>
          <w:szCs w:val="20"/>
          <w:color w:val="auto"/>
        </w:rPr>
      </w:pPr>
      <w:r>
        <w:rPr>
          <w:rFonts w:ascii="Times New Roman" w:cs="Times New Roman" w:eastAsia="Times New Roman" w:hAnsi="Times New Roman"/>
          <w:sz w:val="18"/>
          <w:szCs w:val="18"/>
          <w:color w:val="auto"/>
        </w:rPr>
        <w:t>In this Annual Report on Form 10-K (Annual Report), 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together with its subsidiaries (Labcorp or the Company), has made,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this Annual Report, and in the Company’s other public filings, press releases, and discussions with Company management, including:</w:t>
      </w:r>
    </w:p>
    <w:p>
      <w:pPr>
        <w:spacing w:after="0" w:line="87" w:lineRule="exact"/>
        <w:rPr>
          <w:sz w:val="20"/>
          <w:szCs w:val="20"/>
          <w:color w:val="auto"/>
        </w:rPr>
      </w:pPr>
    </w:p>
    <w:p>
      <w:pPr>
        <w:jc w:val="both"/>
        <w:ind w:left="640" w:hanging="553"/>
        <w:spacing w:after="0" w:line="25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United States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w:t>
      </w:r>
    </w:p>
    <w:p>
      <w:pPr>
        <w:spacing w:after="0" w:line="74" w:lineRule="exact"/>
        <w:rPr>
          <w:rFonts w:ascii="Times New Roman" w:cs="Times New Roman" w:eastAsia="Times New Roman" w:hAnsi="Times New Roman"/>
          <w:sz w:val="18"/>
          <w:szCs w:val="18"/>
          <w:color w:val="auto"/>
        </w:rPr>
      </w:pPr>
    </w:p>
    <w:p>
      <w:pPr>
        <w:jc w:val="both"/>
        <w:ind w:left="640" w:hanging="553"/>
        <w:spacing w:after="0" w:line="284"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53" w:lineRule="exact"/>
        <w:rPr>
          <w:rFonts w:ascii="Times New Roman" w:cs="Times New Roman" w:eastAsia="Times New Roman" w:hAnsi="Times New Roman"/>
          <w:sz w:val="17"/>
          <w:szCs w:val="17"/>
          <w:color w:val="auto"/>
        </w:rPr>
      </w:pPr>
    </w:p>
    <w:p>
      <w:pPr>
        <w:jc w:val="both"/>
        <w:ind w:left="640" w:hanging="553"/>
        <w:spacing w:after="0" w:line="25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4"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the development and commercialization of laboratory-developed tests (LDTs), and the delivery of clinical laboratory test results, including, but not limited to, the U.S. Clinical Laboratory Improvement Act of 1967, the U.S. Clinical Laboratory Improvement Amendments of 1988, the European Union In Vitro Diagnostics Regulation, and similar laws and regulations in jurisdictions in which the Company conducts business;</w:t>
      </w:r>
    </w:p>
    <w:p>
      <w:pPr>
        <w:spacing w:after="0" w:line="78" w:lineRule="exact"/>
        <w:rPr>
          <w:rFonts w:ascii="Times New Roman" w:cs="Times New Roman" w:eastAsia="Times New Roman" w:hAnsi="Times New Roman"/>
          <w:sz w:val="18"/>
          <w:szCs w:val="18"/>
          <w:color w:val="auto"/>
        </w:rPr>
      </w:pPr>
    </w:p>
    <w:p>
      <w:pPr>
        <w:jc w:val="both"/>
        <w:ind w:left="640" w:hanging="553"/>
        <w:spacing w:after="0" w:line="26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69" w:lineRule="exact"/>
        <w:rPr>
          <w:rFonts w:ascii="Times New Roman" w:cs="Times New Roman" w:eastAsia="Times New Roman" w:hAnsi="Times New Roman"/>
          <w:sz w:val="18"/>
          <w:szCs w:val="18"/>
          <w:color w:val="auto"/>
        </w:rPr>
      </w:pPr>
    </w:p>
    <w:p>
      <w:pPr>
        <w:jc w:val="both"/>
        <w:ind w:left="640" w:hanging="553"/>
        <w:spacing w:after="0" w:line="26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69" w:lineRule="exact"/>
        <w:rPr>
          <w:rFonts w:ascii="Times New Roman" w:cs="Times New Roman" w:eastAsia="Times New Roman" w:hAnsi="Times New Roman"/>
          <w:sz w:val="18"/>
          <w:szCs w:val="18"/>
          <w:color w:val="auto"/>
        </w:rPr>
      </w:pPr>
    </w:p>
    <w:p>
      <w:pPr>
        <w:jc w:val="both"/>
        <w:ind w:left="640" w:hanging="553"/>
        <w:spacing w:after="0" w:line="26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69" w:lineRule="exact"/>
        <w:rPr>
          <w:rFonts w:ascii="Times New Roman" w:cs="Times New Roman" w:eastAsia="Times New Roman" w:hAnsi="Times New Roman"/>
          <w:sz w:val="18"/>
          <w:szCs w:val="18"/>
          <w:color w:val="auto"/>
        </w:rPr>
      </w:pPr>
    </w:p>
    <w:p>
      <w:pPr>
        <w:ind w:left="640" w:hanging="553"/>
        <w:spacing w:after="0" w:line="27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spacing w:after="0" w:line="55" w:lineRule="exact"/>
        <w:rPr>
          <w:rFonts w:ascii="Times New Roman" w:cs="Times New Roman" w:eastAsia="Times New Roman" w:hAnsi="Times New Roman"/>
          <w:sz w:val="18"/>
          <w:szCs w:val="18"/>
          <w:color w:val="auto"/>
        </w:rPr>
      </w:pPr>
    </w:p>
    <w:p>
      <w:pPr>
        <w:jc w:val="both"/>
        <w:ind w:left="640" w:hanging="553"/>
        <w:spacing w:after="0" w:line="25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 to comply with the applicable regulations of pharmaceutical and medical device regulators affecting the approval, availability of, and the selling and marketing of diagnostic tests including LDTs, drug development, or the conduct of drug development and medical device and diagnostic studies and trials, including regulations and policies of the U.S. Food and Drug Administration (FDA), the U.S. Department of Agriculture, the Medicine and Healthcare products Regulatory Agency in the United Kingdom, the National Medical Products Administration in China, the Pharmaceutical and Medical Devices Agency in Japan, the European Union, the European Medicines Agency, and similar regulations and policies of agencies in other jurisdictions in which the Company conducts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40" w:hanging="553"/>
        <w:spacing w:after="0" w:line="26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69"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3" w:lineRule="exact"/>
        <w:rPr>
          <w:rFonts w:ascii="Times New Roman" w:cs="Times New Roman" w:eastAsia="Times New Roman" w:hAnsi="Times New Roman"/>
          <w:sz w:val="18"/>
          <w:szCs w:val="18"/>
          <w:color w:val="auto"/>
        </w:rPr>
      </w:pPr>
    </w:p>
    <w:p>
      <w:pPr>
        <w:jc w:val="both"/>
        <w:ind w:left="640" w:right="20" w:hanging="553"/>
        <w:spacing w:after="0" w:line="26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69"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8" w:lineRule="exact"/>
        <w:rPr>
          <w:rFonts w:ascii="Times New Roman" w:cs="Times New Roman" w:eastAsia="Times New Roman" w:hAnsi="Times New Roman"/>
          <w:sz w:val="18"/>
          <w:szCs w:val="18"/>
          <w:color w:val="auto"/>
        </w:rPr>
      </w:pPr>
    </w:p>
    <w:p>
      <w:pPr>
        <w:jc w:val="both"/>
        <w:ind w:left="640" w:hanging="553"/>
        <w:spacing w:after="0" w:line="26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managed care organizations (MCOs) as a result of changes in business models, including risk based or network approaches, out-sourced laboratory network management or utilization management companies, or other changes in strategy or business models by MCOs;</w:t>
      </w:r>
    </w:p>
    <w:p>
      <w:pPr>
        <w:spacing w:after="0" w:line="69"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5"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5"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spacing w:after="0" w:line="55"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3"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5"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 acquired businesses, including due to items not discovered in the due diligence process, and the impact on the Company’s cash position, levels of indebtedness, and stock price;</w:t>
      </w:r>
    </w:p>
    <w:p>
      <w:pPr>
        <w:spacing w:after="0" w:line="55"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3"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113"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5"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3"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5"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3"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or the loss of significant personnel as a result of illness, increased competition for talent, wage growth, or other market factors beyond the Company’s control;</w:t>
      </w:r>
    </w:p>
    <w:p>
      <w:pPr>
        <w:spacing w:after="0" w:line="55"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55"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hanging="55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offerings and defend against challenges to those rights;</w:t>
      </w:r>
    </w:p>
    <w:p>
      <w:pPr>
        <w:spacing w:after="0" w:line="55"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offerings or operate its business;</w:t>
      </w:r>
    </w:p>
    <w:p>
      <w:pPr>
        <w:spacing w:after="0" w:line="55" w:lineRule="exact"/>
        <w:rPr>
          <w:rFonts w:ascii="Times New Roman" w:cs="Times New Roman" w:eastAsia="Times New Roman" w:hAnsi="Times New Roman"/>
          <w:sz w:val="18"/>
          <w:szCs w:val="18"/>
          <w:color w:val="auto"/>
        </w:rPr>
      </w:pPr>
    </w:p>
    <w:p>
      <w:pPr>
        <w:jc w:val="both"/>
        <w:ind w:left="640" w:hanging="553"/>
        <w:spacing w:after="0" w:line="25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geopolitical crises, including terrorism and war; public health crises and disease epidemics and pandemics, including but not limited to the continued impact of COVID-19; and other events beyond the Company's control;</w:t>
      </w:r>
    </w:p>
    <w:p>
      <w:pPr>
        <w:spacing w:after="0" w:line="74"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products used in the performance of testing;</w:t>
      </w:r>
    </w:p>
    <w:p>
      <w:pPr>
        <w:spacing w:after="0" w:line="113" w:lineRule="exact"/>
        <w:rPr>
          <w:rFonts w:ascii="Times New Roman" w:cs="Times New Roman" w:eastAsia="Times New Roman" w:hAnsi="Times New Roman"/>
          <w:sz w:val="18"/>
          <w:szCs w:val="18"/>
          <w:color w:val="auto"/>
        </w:rPr>
      </w:pPr>
    </w:p>
    <w:p>
      <w:pPr>
        <w:jc w:val="both"/>
        <w:ind w:left="640" w:hanging="553"/>
        <w:spacing w:after="0" w:line="25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the failure of the Company or its third-party suppliers and vendors to maintain the security of business information or systems or to protect against cybersecurity incidents such as denial of service attacks, malware, ransomware, and computer viruses, delays or failures in the development and implementation of the Company’s automation platforms, or adverse effects from the use of or regulation of artificial intelligence (AI) and machine learning tools, any of which could result in a negative effect on the Company’s performance of services, a loss of business or increased costs, delays in cash collections,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79"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5" w:lineRule="exact"/>
        <w:rPr>
          <w:rFonts w:ascii="Times New Roman" w:cs="Times New Roman" w:eastAsia="Times New Roman" w:hAnsi="Times New Roman"/>
          <w:sz w:val="18"/>
          <w:szCs w:val="18"/>
          <w:color w:val="auto"/>
        </w:rPr>
      </w:pPr>
    </w:p>
    <w:p>
      <w:pPr>
        <w:jc w:val="both"/>
        <w:ind w:left="640" w:hanging="553"/>
        <w:spacing w:after="0" w:line="26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69"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5"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5"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3" w:lineRule="exact"/>
        <w:rPr>
          <w:rFonts w:ascii="Times New Roman" w:cs="Times New Roman" w:eastAsia="Times New Roman" w:hAnsi="Times New Roman"/>
          <w:sz w:val="18"/>
          <w:szCs w:val="18"/>
          <w:color w:val="auto"/>
        </w:rPr>
      </w:pPr>
    </w:p>
    <w:p>
      <w:pPr>
        <w:ind w:left="640" w:hanging="55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5" w:lineRule="exact"/>
        <w:rPr>
          <w:rFonts w:ascii="Times New Roman" w:cs="Times New Roman" w:eastAsia="Times New Roman" w:hAnsi="Times New Roman"/>
          <w:sz w:val="18"/>
          <w:szCs w:val="18"/>
          <w:color w:val="auto"/>
        </w:rPr>
      </w:pPr>
    </w:p>
    <w:p>
      <w:pPr>
        <w:jc w:val="both"/>
        <w:ind w:left="640" w:hanging="553"/>
        <w:spacing w:after="0" w:line="26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(FCPA), the U.K. Bribery Act, other applicable anti-corruption laws and regulations, trade sanction laws and regulations, and economic, political, legal and other operational risks associated with foreign jurisdictions;</w:t>
      </w:r>
    </w:p>
    <w:p>
      <w:pPr>
        <w:spacing w:after="0" w:line="69"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113"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3"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 and</w:t>
      </w:r>
    </w:p>
    <w:p>
      <w:pPr>
        <w:spacing w:after="0" w:line="113" w:lineRule="exact"/>
        <w:rPr>
          <w:rFonts w:ascii="Times New Roman" w:cs="Times New Roman" w:eastAsia="Times New Roman" w:hAnsi="Times New Roman"/>
          <w:sz w:val="18"/>
          <w:szCs w:val="18"/>
          <w:color w:val="auto"/>
        </w:rPr>
      </w:pPr>
    </w:p>
    <w:p>
      <w:pPr>
        <w:jc w:val="both"/>
        <w:ind w:left="640" w:hanging="553"/>
        <w:spacing w:after="0" w:line="26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completed spin-off of Fortrea Holdings Inc. (Spin-off), including, but not limited to, factors that could adversely affect the Company’s ability to realize the expected benefits of the Spin-off, the failure of the Spin-off to qualify as a tax-free transaction for U.S. federal income tax purposes.</w:t>
      </w:r>
    </w:p>
    <w:p>
      <w:pPr>
        <w:spacing w:after="0" w:line="69" w:lineRule="exact"/>
        <w:rPr>
          <w:sz w:val="20"/>
          <w:szCs w:val="20"/>
          <w:color w:val="auto"/>
        </w:rPr>
      </w:pPr>
    </w:p>
    <w:p>
      <w:pPr>
        <w:ind w:firstLine="240"/>
        <w:spacing w:after="0" w:line="307" w:lineRule="auto"/>
        <w:rPr>
          <w:sz w:val="20"/>
          <w:szCs w:val="20"/>
          <w:color w:val="auto"/>
        </w:rPr>
      </w:pPr>
      <w:r>
        <w:rPr>
          <w:rFonts w:ascii="Times New Roman" w:cs="Times New Roman" w:eastAsia="Times New Roman" w:hAnsi="Times New Roman"/>
          <w:sz w:val="17"/>
          <w:szCs w:val="17"/>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7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4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Labcorp® Holdings Inc. (Labcorp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 The Company’s nearly 70,000 employees serve clients in approximately 100 countries, provided support for more than 75% of the new drugs and therapeutic products approved in 2024 by the FDA, and performed more than 700 million tests annually for patients around the world.</w:t>
      </w:r>
    </w:p>
    <w:p>
      <w:pPr>
        <w:spacing w:after="0" w:line="9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April 25, 2024, Laboratory Corporation of America Holdings (LCAH) announced plans to implement a new public holding company structure, with Labcorp Holdings Inc. as the holding company. On May 17, 2024, the Company completed the holding company reorganization (Reorganization) and became the successor issuer to LCAH. Labcorp Holdings Inc. has no independent assets or operations and its sole ownership interest is in LCAH.</w:t>
      </w:r>
    </w:p>
    <w:p>
      <w:pPr>
        <w:spacing w:after="0" w:line="83"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The Company is organized under two segments, consisting of Diagnostics Laboratories (Dx), which includes routine testing and specialty/esoteric testing, and Biopharma Laboratory Services (BLS), consisting of Early Development Research Laboratories (ED) and Central Laboratory Services. The Company’s strength in science, technology, and innovation, as well as its global scale, enable it to play a leading role in advancing healthcare across the globe.</w:t>
      </w:r>
    </w:p>
    <w:p>
      <w:pPr>
        <w:spacing w:after="0" w:line="8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significant reach, breadth, and advancement of the Company’s offerings have resulted in Base Business revenue growth of 4.9% from 2023 through 2024 and 7.4% versus 2019 compound annual growth rate (CAGR). Base Business includes the Company’s business operations except for COVID-19 PCR testing (COVID-19 Testing).</w:t>
      </w:r>
    </w:p>
    <w:p>
      <w:pPr>
        <w:spacing w:after="0" w:line="8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2024, the Company generated revenues of $13,008.9 million, diluted earnings per share from continuing operations of $8.84, and had a total operating cash flow provided by continuing operations of $1,585.8 million.</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believes that science, technology, and innovation drive its continued success, differentiate the Company, and are foundational to its future.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are critical to the Company’s ability to carry out its mission to improve health and improve lives.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 of Fortrea Holdings Inc.</w:t>
      </w:r>
    </w:p>
    <w:p>
      <w:pPr>
        <w:spacing w:after="0" w:line="11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June 30, 2023, the Company completed the previously announced separation (Spin-off) of its former clinical development and commercialization services (CDCS) business, Fortrea Holdings Inc. (Fortrea), through the Company’s pro-rata distribution of 100% of the outstanding shares of Fortrea common stock to holders of record of Labcorp common stock (Common Stock). Each holder of record of Common Stock received one share of Fortrea common stock for every share of Common Stock.</w:t>
      </w:r>
    </w:p>
    <w:p>
      <w:pPr>
        <w:spacing w:after="0" w:line="10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Upon closing of the Spin-off, Fortrea made a cash distribution to the Company of approximately $1,600.0 million. In 2023, these proceeds were mainly used to repurchase approximately $1,000.0 million in the aggregate of Common Stock pursuant to accelerated share repurchase agreements and paying down $300.0 million of debt that matured in 2023. The remaining funds were used in 2024 to support continued programs to return value to shareholders, through cash dividends and/or share repurchases.</w:t>
      </w:r>
    </w:p>
    <w:p>
      <w:pPr>
        <w:spacing w:after="0" w:line="8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a result of the Spin-off, all current and historical operating results of Fortrea are presented as Earnings from discontinued operations, net of tax, in the Consolidated Statements of Operations and the Company has recast its BLS segment results to exclude the historical results of the CDCS business for all periods presented.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Strategy</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Through leadership in science, technology and innovation, the Company provides vital information and services to help its customers make clear and confident health decisions and helps millions of people improve health and improve lives.</w:t>
      </w:r>
    </w:p>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is expanding its role in the rapidly evolving healthcare market by strengthening its positions across its portfolio of capabilities, growing strategic opportunities that drive new business, and differentiating its unique offerings, capabilities, and financial performance. The Company is focused on two near-term strategic opportunities for growth across both Dx and BLS:</w:t>
      </w:r>
    </w:p>
    <w:p>
      <w:pPr>
        <w:spacing w:after="0" w:line="92" w:lineRule="exact"/>
        <w:rPr>
          <w:sz w:val="20"/>
          <w:szCs w:val="20"/>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Be the Partner of Choice for Health Systems and Local and Regional Laboratories</w:t>
      </w:r>
    </w:p>
    <w:p>
      <w:pPr>
        <w:spacing w:after="0" w:line="131" w:lineRule="exact"/>
        <w:rPr>
          <w:sz w:val="20"/>
          <w:szCs w:val="20"/>
          <w:color w:val="auto"/>
        </w:rPr>
      </w:pPr>
    </w:p>
    <w:p>
      <w:pPr>
        <w:ind w:right="20" w:firstLine="240"/>
        <w:spacing w:after="0" w:line="277" w:lineRule="auto"/>
        <w:rPr>
          <w:sz w:val="20"/>
          <w:szCs w:val="20"/>
          <w:color w:val="auto"/>
        </w:rPr>
      </w:pPr>
      <w:r>
        <w:rPr>
          <w:rFonts w:ascii="Times New Roman" w:cs="Times New Roman" w:eastAsia="Times New Roman" w:hAnsi="Times New Roman"/>
          <w:sz w:val="18"/>
          <w:szCs w:val="18"/>
          <w:color w:val="auto"/>
        </w:rPr>
        <w:t>The Company expects industry consolidation to continue, as hospitals and health systems focus on investing in core patient care services. The depth and the breadth of opportunity and the quality of the pipeline is robust, and the Company is optimistic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about continued expansion. The Company seeks partnerships that meet financial criteria, including being accretive in the first year, returning each transaction’s cost of capital within three years, and providing a clear path to improve margins.</w:t>
      </w:r>
    </w:p>
    <w:p>
      <w:pPr>
        <w:spacing w:after="0" w:line="83"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Company signed or completed 10 collaboration transactions with health systems and local and regional laboratories in 2024. The Company believes it is an attractive partner for hospitals and health systems for multiple reasons, including its:</w:t>
      </w:r>
    </w:p>
    <w:p>
      <w:pPr>
        <w:spacing w:after="0" w:line="69" w:lineRule="exact"/>
        <w:rPr>
          <w:sz w:val="20"/>
          <w:szCs w:val="20"/>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offerings in high growth specialty areas;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industry-leading test portfolio and national presence;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data and analytics capabilities;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a hospital’s laboratory services seamlessly.</w:t>
      </w:r>
    </w:p>
    <w:p>
      <w:pPr>
        <w:spacing w:after="0" w:line="104"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Lead in the Development, Licensing, and Scaling of Specialty Testing</w:t>
      </w:r>
    </w:p>
    <w:p>
      <w:pPr>
        <w:spacing w:after="0" w:line="14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The Company is focused on four primary specialty testing areas: oncology, women's health, autoimmune disease, and neurology, which the Company believes represent significant growth areas. The development of specialty tests and companion diagnostics (CDx) are attractive to health systems partners and biopharma as they continue to develop more products in specialty areas and cell and gene therapy. The Company has demonstrated its ability to provide comprehensive portfolios in these four areas, which comprise more than half of clinical trials conducted in its Central Laboratory Services business.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Longer-term, the Company is focused on three enterprise-wide strategic priorities to drive growth:</w:t>
      </w:r>
    </w:p>
    <w:p>
      <w:pPr>
        <w:spacing w:after="0" w:line="123"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Establish leadership and partnership capabilities in cell and gene therapy</w:t>
      </w:r>
    </w:p>
    <w:p>
      <w:pPr>
        <w:spacing w:after="0" w:line="14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Cell and gene therapy is a growing focus of biopharma pipelines, with approximately 2,000 clinical trials being conducted globally and representing approximately 20% of all biopharma drug pipelines. The Company expects the cell and gene therapy market to grow at a substantially higher rate than other types of therapies over the next five years. As cell and gene therapies expand, the Company has an opportunity to leverage its strong drug development capabilities, scientific expertise, and pharma relationships to become a development lab of choice. Longer-term as these therapies develop, the Company believes it can harness its diagnostic assets to support biopharma in commercializing cell and gene therapies and scaling these therapies through its hospital and health system business over time.</w:t>
      </w:r>
    </w:p>
    <w:p>
      <w:pPr>
        <w:spacing w:after="0" w:line="88"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Expand Consumer-centric Capabilities</w:t>
      </w:r>
    </w:p>
    <w:p>
      <w:pPr>
        <w:spacing w:after="0" w:line="13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Consumerism trends, such as greater choice, convenience, and transparency, continue to have a growing influence across the healthcare landscape and present new opportunities for growth. Through its core customer groups, the Company has approximately 175 million patient encounters per year and has invested in modern capabilities to digitize and improve the patient journey across patient service centers. Through the Labcorp OnDemand™ channel, the Company has also demonstrated its ability to connect with consumers directly and is now offering 75 health and wellness tests through Labcorp OnDemand. Across its core businesses, the Company has an opportunity to make strategic investments to continue to enhance the customer experience through its patient portal, patient service center network, and other consumer-focused initiatives, and to capitalize on select direct revenue streams that require elevated consumer capabilities. The Company’s scaled operations, trusted brand, scientific leadership, and broad customer base are key differentiators that will support its efforts to expand over time to meet the evolving needs of its customer groups.</w:t>
      </w:r>
    </w:p>
    <w:p>
      <w:pPr>
        <w:spacing w:after="0" w:line="106"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Expand Global Reach, Including Through Companion Diagnostics</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International expansion of specialized diagnostics remains a key opportunity for future growth as the Company continues to add to its pipeline of specialty diagnostics. The Company is already a key partner to biopharma in CDx. As its pipeline of specialty diagnostics grows, the Company will seek to leverage its scientific leadership in new markets through a differentiated set of capabilities, including:</w:t>
      </w:r>
    </w:p>
    <w:p>
      <w:pPr>
        <w:spacing w:after="0" w:line="83"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central laboratory footprint;</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science and technology;</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and competitive testing portfolio; and</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customer relationships in diagnostics and biopharma laboratory services.</w:t>
      </w:r>
    </w:p>
    <w:p>
      <w:pPr>
        <w:spacing w:after="0" w:line="140" w:lineRule="exact"/>
        <w:rPr>
          <w:sz w:val="20"/>
          <w:szCs w:val="20"/>
          <w:color w:val="auto"/>
        </w:rPr>
      </w:pPr>
    </w:p>
    <w:p>
      <w:pPr>
        <w:ind w:right="20" w:firstLine="240"/>
        <w:spacing w:after="0" w:line="277" w:lineRule="auto"/>
        <w:rPr>
          <w:sz w:val="20"/>
          <w:szCs w:val="20"/>
          <w:color w:val="auto"/>
        </w:rPr>
      </w:pPr>
      <w:r>
        <w:rPr>
          <w:rFonts w:ascii="Times New Roman" w:cs="Times New Roman" w:eastAsia="Times New Roman" w:hAnsi="Times New Roman"/>
          <w:sz w:val="18"/>
          <w:szCs w:val="18"/>
          <w:color w:val="auto"/>
        </w:rPr>
        <w:t>As CDx continues to become more important for serving customers across the enterprise, the Company has a unique set of capabilities to be an end-to-end partner to biopharma and will continue to expand these capabilities to fuel further targeted growth internationally.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13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Company believes it has a strong track record of deploying capital to investments that enhance the Company’s business and return capital to shareholders.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During 2024, the Company invested $839.0 million in strategic business acquisitions. The acquisitions have enhanced the Company’s service offerings, expanded its customer and revenue mix, and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10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2024, the Company repurchased 1.1 million shares of Common Stock at an average price of $219.57 per share for a total cost of $250.1 million and paid dividends of $243.1 million. At the end of 2024, the Company had outstanding authorization from its Board of Directors (Board) to purchase up to $1,280.4 million maximum value of Common Stock.</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2024, capital expenditures were $489.9 million, or 3.8% of the Company’s revenues. The Company expects this level of spending to remain consistent in 2025, primarily in connection with projects to support growth in the Company’s core businesses, facility expansion and updates, projects related to its LaunchPad initiative, and further acquisition integration initiatives.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will continue to evaluate opportunities for strategic deployment of capital in light of market conditions.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External Factors</w:t>
      </w:r>
    </w:p>
    <w:p>
      <w:pPr>
        <w:spacing w:after="0" w:line="11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experiences seasonality across its business. For example, testing volume generally declines during the year-end holiday period and other major holidays and can also decline due to inclement weather or natural disasters. Testing volumes can also be impacted by changes in the global economy, exchange rate fluctuations, political and regulatory changes, the progress of ongoing studies and the startup of new studies, as well as the level of expenditures made by the pharmaceutical, biotechnology and medical device industries in research and design (R&amp;D). Declines in testing volume reduce revenues, operating margins, and cash flows.</w:t>
      </w:r>
    </w:p>
    <w:p>
      <w:pPr>
        <w:spacing w:after="0" w:line="10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2024, approximately 13.7% of the Company’s revenues were billed in currencies other than the U.S. dollar, with the Swiss franc, British pound, Canadian dollar, and the euro representing the largest components of its currency exposure.</w:t>
      </w:r>
    </w:p>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Given the seasonality and changing economic factors impacting the business, comparison of the results for successive quarters may not accurately reflect trends or results for the full year.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Reporting</w:t>
      </w:r>
    </w:p>
    <w:p>
      <w:pPr>
        <w:spacing w:after="0" w:line="13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Company’s Annual Reports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U.S. Securities and Exchange Commission (SEC). Additionally, the SEC maintains a website at http://www.sec.gov that contains reports, proxy and information statements, and other information regarding issuers, including the Company, that file electronically with the SEC.</w:t>
      </w:r>
    </w:p>
    <w:p>
      <w:pPr>
        <w:spacing w:after="0" w:line="9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matters discussed in this “Business” section should be read in conjunction with the Consolidated Financial Statements found in Item 8 of Part II of this Annual Report, which include additional financial information about the Company. This Annual Report includes forward-looking statements that involve risks or uncertainties. The Company’s results could differ materially from those anticipated in these forward-looking statements as a result of certain factors, including the risk factors described in Item 1A of Part I of this Annual Report and elsewhere. For more information about forward-looking statements, see “Forward-Looking Statements” included prior to Part I in this Annual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Business</w:t>
      </w:r>
    </w:p>
    <w:p>
      <w:pPr>
        <w:spacing w:after="0" w:line="131" w:lineRule="exact"/>
        <w:rPr>
          <w:sz w:val="20"/>
          <w:szCs w:val="20"/>
          <w:color w:val="auto"/>
        </w:rPr>
      </w:pPr>
    </w:p>
    <w:p>
      <w:pPr>
        <w:jc w:val="both"/>
        <w:ind w:right="20" w:firstLine="24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2024, the Company’s revenues were $13,008.9 million, an increase of 7.0% from $12,161.6 million in 2023. The 7.0% increase in revenues for the year ended December 31, 2024, as compared to the corresponding period in 2023, was primarily due to organic revenue of 3.9%, acquisitions, net of divestitures of 2.8%, and favorable foreign currency translation of 0.2%. The 3.9% increase in organic revenue was due to a 4.9% increase in the Company’s organic Base Business, partially offset by an 1.0% decrease in COVID-19 Testing.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8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12,161.6</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3,624.4</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3,364.9</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continuing operating activities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from continuing operations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from continuing operations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bl>
    <w:p>
      <w:pPr>
        <w:spacing w:after="0" w:line="195" w:lineRule="exact"/>
        <w:rPr>
          <w:sz w:val="20"/>
          <w:szCs w:val="20"/>
          <w:color w:val="auto"/>
        </w:rPr>
      </w:pPr>
    </w:p>
    <w:p>
      <w:pPr>
        <w:jc w:val="both"/>
        <w:ind w:right="20" w:firstLine="240"/>
        <w:spacing w:after="0" w:line="252" w:lineRule="auto"/>
        <w:rPr>
          <w:sz w:val="20"/>
          <w:szCs w:val="20"/>
          <w:color w:val="auto"/>
        </w:rPr>
      </w:pPr>
      <w:r>
        <w:rPr>
          <w:rFonts w:ascii="Times New Roman" w:cs="Times New Roman" w:eastAsia="Times New Roman" w:hAnsi="Times New Roman"/>
          <w:sz w:val="18"/>
          <w:szCs w:val="18"/>
          <w:color w:val="auto"/>
        </w:rPr>
        <w:t>The Company reports its business in two segments, Dx and BLS. In 2024, Dx and BLS contributed 78% and 22%, respectively, of revenues to the Company, and in 2023 contributed 77% and 23%, respectively. Nearly all of Dx’s revenues are generated in the U.S., with a smaller portion in Canada and a relatively small amount in the rest of the world. BLS’s revenues are nearly evenly split between the U.S. and the rest of the world, with approximately 41% derived from the U.S. and approximately 59% from other countries. Although this allocation of revenues provides some protection from economic shifts in any one country, it is still heavily tilted towards the U.S. As a result, to further diversify its operations, the Company may explore select business opportunities outside the U.S. The Company’s revenues by segment payers/customer groups and by geography for the years ended December 31, 2024 and 2023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Borders>
              <w:right w:val="single" w:sz="8" w:color="auto"/>
            </w:tcBorders>
          </w:tcPr>
          <w:p>
            <w:pPr>
              <w:spacing w:after="0"/>
              <w:rPr>
                <w:sz w:val="17"/>
                <w:szCs w:val="17"/>
                <w:color w:val="auto"/>
              </w:rPr>
            </w:pPr>
          </w:p>
        </w:tc>
        <w:tc>
          <w:tcPr>
            <w:tcW w:w="2700" w:type="dxa"/>
            <w:vAlign w:val="bottom"/>
            <w:tcBorders>
              <w:top w:val="single" w:sz="8" w:color="auto"/>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20" w:type="dxa"/>
            <w:vAlign w:val="bottom"/>
            <w:tcBorders>
              <w:top w:val="single" w:sz="8" w:color="auto"/>
              <w:bottom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640" w:type="dxa"/>
            <w:vAlign w:val="bottom"/>
            <w:tcBorders>
              <w:top w:val="single" w:sz="8" w:color="auto"/>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72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340" w:type="dxa"/>
            <w:vAlign w:val="bottom"/>
            <w:tcBorders>
              <w:right w:val="single" w:sz="8" w:color="auto"/>
            </w:tcBorders>
          </w:tcPr>
          <w:p>
            <w:pPr>
              <w:spacing w:after="0"/>
              <w:rPr>
                <w:sz w:val="11"/>
                <w:szCs w:val="11"/>
                <w:color w:val="auto"/>
              </w:rPr>
            </w:pPr>
          </w:p>
        </w:tc>
        <w:tc>
          <w:tcPr>
            <w:tcW w:w="9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North</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Borders>
              <w:right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right w:val="single" w:sz="8" w:color="auto"/>
            </w:tcBorders>
          </w:tcPr>
          <w:p>
            <w:pPr>
              <w:spacing w:after="0"/>
              <w:rPr>
                <w:sz w:val="11"/>
                <w:szCs w:val="11"/>
                <w:color w:val="auto"/>
              </w:rPr>
            </w:pPr>
          </w:p>
        </w:tc>
        <w:tc>
          <w:tcPr>
            <w:tcW w:w="9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North</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Borders>
              <w:right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340" w:type="dxa"/>
            <w:vAlign w:val="bottom"/>
            <w:tcBorders>
              <w:right w:val="single" w:sz="8" w:color="auto"/>
            </w:tcBorders>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8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40" w:type="dxa"/>
            <w:vAlign w:val="bottom"/>
            <w:tcBorders>
              <w:right w:val="single" w:sz="8" w:color="auto"/>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2"/>
        </w:trPr>
        <w:tc>
          <w:tcPr>
            <w:tcW w:w="43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right w:val="single" w:sz="8" w:color="auto"/>
            </w:tcBorders>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08"/>
        </w:trPr>
        <w:tc>
          <w:tcPr>
            <w:tcW w:w="43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4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40" w:type="dxa"/>
            <w:vAlign w:val="bottom"/>
            <w:tcBorders>
              <w:right w:val="single" w:sz="8" w:color="auto"/>
            </w:tcBorders>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0"/>
        </w:trPr>
        <w:tc>
          <w:tcPr>
            <w:tcW w:w="43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0"/>
        </w:trPr>
        <w:tc>
          <w:tcPr>
            <w:tcW w:w="434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Pharmaceutical, biotechnology and medical device companies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08"/>
        </w:trPr>
        <w:tc>
          <w:tcPr>
            <w:tcW w:w="4340" w:type="dxa"/>
            <w:vAlign w:val="bottom"/>
            <w:tcBorders>
              <w:right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Diagnostics Laboratories Segment</w:t>
      </w:r>
    </w:p>
    <w:p>
      <w:pPr>
        <w:spacing w:after="0" w:line="13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During 2024, the Dx segment generated $10,144.3 million in revenues and $1,606.3 million in segment operating income, resulting in an operating margin of 15.8%.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8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9,415.1</w:t>
            </w:r>
          </w:p>
        </w:tc>
      </w:tr>
      <w:tr>
        <w:trPr>
          <w:trHeight w:val="232"/>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w:t>
            </w:r>
          </w:p>
        </w:tc>
      </w:tr>
    </w:tbl>
    <w:p>
      <w:pPr>
        <w:spacing w:after="0" w:line="189"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Dx offers a comprehensive menu of frequently requested core testing and specialty testing through an integrated network of primary and specialty laboratories across the U.S. and Canada. This network is supported by a sophisticated information technology system, with more than 80,000 electronic interfaces to deliver test results, nimble and efficient logistics, and local labs offering rapid response testing.</w:t>
      </w:r>
    </w:p>
    <w:p>
      <w:pPr>
        <w:spacing w:after="0" w:line="96"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Dx also provides patient access points that are strategically and conveniently located throughout the U.S., including more than 2,200 patient service centers (PSCs) and more than 6,800 in-office phlebotomists located in customer offices and facilities.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deoxyribonucleic acid testing to determine parentage and to assist in immigration eligibility determinations, environmental testing, wellness testing, toxicology testing, pain management testing, and medical drug monitoring. Dx offers an expansive test menu that includes a wide range of clinical, anatomic pathology, genetic and genomic tests, and regularly adds new tests and improves the methodology of existing tests to enhance patient care. Dx also offers more than 75 consumer-initiated wellness tests available online through its Labcorp OnDemand platform.</w:t>
      </w:r>
    </w:p>
    <w:p>
      <w:pPr>
        <w:spacing w:after="0" w:line="105"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As part of an ongoing commitment to be an efficient and high-value provider of laboratory services, Dx implemented and has maintained a comprehensive business process improvement initiative known as LaunchPad. The initiative was designed to reengineer the Company’s systems and processes to create a sustainable and more efficient business model, and to improve the experience of all stakeholders.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Dx business can be categorized into the following components: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080" w:type="dxa"/>
            <w:vAlign w:val="bottom"/>
            <w:tcBorders>
              <w:left w:val="single" w:sz="8" w:color="auto"/>
              <w:bottom w:val="single" w:sz="8" w:color="auto"/>
              <w:right w:val="single" w:sz="8" w:color="auto"/>
            </w:tcBorders>
            <w:shd w:val="clear" w:color="auto" w:fill="000000"/>
          </w:tcPr>
          <w:p>
            <w:pPr>
              <w:ind w:left="760"/>
              <w:spacing w:after="0"/>
              <w:rPr>
                <w:sz w:val="20"/>
                <w:szCs w:val="20"/>
                <w:color w:val="auto"/>
              </w:rPr>
            </w:pPr>
            <w:r>
              <w:rPr>
                <w:rFonts w:ascii="Times New Roman" w:cs="Times New Roman" w:eastAsia="Times New Roman" w:hAnsi="Times New Roman"/>
                <w:sz w:val="18"/>
                <w:szCs w:val="18"/>
                <w:b w:val="1"/>
                <w:bCs w:val="1"/>
                <w:color w:val="FFFFFF"/>
              </w:rPr>
              <w:t>Service</w:t>
            </w:r>
          </w:p>
        </w:tc>
        <w:tc>
          <w:tcPr>
            <w:tcW w:w="280" w:type="dxa"/>
            <w:vAlign w:val="bottom"/>
            <w:tcBorders>
              <w:bottom w:val="single" w:sz="8" w:color="auto"/>
            </w:tcBorders>
            <w:shd w:val="clear" w:color="auto" w:fill="000000"/>
          </w:tcPr>
          <w:p>
            <w:pPr>
              <w:spacing w:after="0"/>
              <w:rPr>
                <w:sz w:val="19"/>
                <w:szCs w:val="19"/>
                <w:color w:val="auto"/>
              </w:rPr>
            </w:pPr>
          </w:p>
        </w:tc>
        <w:tc>
          <w:tcPr>
            <w:tcW w:w="8880" w:type="dxa"/>
            <w:vAlign w:val="bottom"/>
            <w:tcBorders>
              <w:bottom w:val="single" w:sz="8" w:color="auto"/>
            </w:tcBorders>
            <w:shd w:val="clear" w:color="auto" w:fill="000000"/>
          </w:tcPr>
          <w:p>
            <w:pPr>
              <w:ind w:left="3780"/>
              <w:spacing w:after="0"/>
              <w:rPr>
                <w:sz w:val="20"/>
                <w:szCs w:val="20"/>
                <w:color w:val="auto"/>
              </w:rPr>
            </w:pPr>
            <w:r>
              <w:rPr>
                <w:rFonts w:ascii="Times New Roman" w:cs="Times New Roman" w:eastAsia="Times New Roman" w:hAnsi="Times New Roman"/>
                <w:sz w:val="18"/>
                <w:szCs w:val="18"/>
                <w:b w:val="1"/>
                <w:bCs w:val="1"/>
                <w:color w:val="FFFFFF"/>
              </w:rPr>
              <w:t>Key Features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of PSCs offering specimen collection services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nimble supply chain for transferring specimens across the entire life cycle of a patient sample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Testing Operations and</w:t>
            </w:r>
          </w:p>
        </w:tc>
        <w:tc>
          <w:tcPr>
            <w:tcW w:w="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One- to two- day turnaround time for most test results, with the vast majority of results delivered electronically to</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Productivity</w:t>
            </w:r>
          </w:p>
        </w:tc>
        <w:tc>
          <w:tcPr>
            <w:tcW w:w="280" w:type="dxa"/>
            <w:vAlign w:val="bottom"/>
          </w:tcPr>
          <w:p>
            <w:pPr>
              <w:spacing w:after="0"/>
              <w:rPr>
                <w:sz w:val="20"/>
                <w:szCs w:val="20"/>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healthcare providers and to patients who have a Labcorp Patient™ account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Rigorous standard of quality - 25 regional/specialty labs hold International Organization for Standardization (ISO) 15189</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five labs hold ISO 13485 certification, and two labs hold both</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Standard Testing Services - </w:t>
            </w:r>
            <w:r>
              <w:rPr>
                <w:rFonts w:ascii="Times New Roman" w:cs="Times New Roman" w:eastAsia="Times New Roman" w:hAnsi="Times New Roman"/>
                <w:sz w:val="18"/>
                <w:szCs w:val="18"/>
                <w:color w:val="auto"/>
              </w:rPr>
              <w:t>frequently-ordered tests used in regular patient care include blood chemistry analyses,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urinalyses, blood cell counts, thyroid tests, PAP tests, hemoglobin A1C, prostate-specific antigen (PSA), tests for sexually</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transmitted diseases (e.g., chlamydia, gonorrhea, trichomoniasis, human immunodeficiency (HIV), and hepatitis C (HCV)),</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vitamin D, microbiology cultures and procedures, and alcohol and other substance abuse tests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80" w:type="dxa"/>
            <w:vAlign w:val="bottom"/>
            <w:tcBorders>
              <w:left w:val="single" w:sz="8" w:color="auto"/>
              <w:right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Testing and Related</w:t>
            </w:r>
          </w:p>
        </w:tc>
        <w:tc>
          <w:tcPr>
            <w:tcW w:w="28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 xml:space="preserve">Specialty Testing Services - </w:t>
            </w:r>
            <w:r>
              <w:rPr>
                <w:rFonts w:ascii="Times New Roman" w:cs="Times New Roman" w:eastAsia="Times New Roman" w:hAnsi="Times New Roman"/>
                <w:sz w:val="18"/>
                <w:szCs w:val="18"/>
                <w:color w:val="auto"/>
                <w:w w:val="99"/>
              </w:rPr>
              <w:t>industry leader in gene-based and esoteric testing; advanced tests that target specific diseases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80" w:type="dxa"/>
            <w:vAlign w:val="bottom"/>
          </w:tcPr>
          <w:p>
            <w:pPr>
              <w:spacing w:after="0"/>
              <w:rPr>
                <w:sz w:val="20"/>
                <w:szCs w:val="20"/>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use new technologies; services include anatomic pathology/oncology, cardiovascular disease, coagulation, diagnostic</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genetics, endocrinology, infectious disease, women’s health, pharmacogenetics, parentage and donor testing, occupational</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testing services, medical drug monitoring services, chronic disease programs, and kidney stone prevention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Dx offers a range of health and wellness services to employers and MCOs, including health fairs, on-site and at-home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testing, vaccinations and health screenings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Nearly 100 new tests launched in 2024</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Development of New Tests</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Active diagnostics and therapeutics research division: approximately 750 studies, articles, and presentations produced in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8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80" w:type="dxa"/>
            <w:vAlign w:val="bottom"/>
            <w:tcBorders>
              <w:left w:val="single" w:sz="8" w:color="auto"/>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88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Continuous investing, internally and externally, in new testing technologies and advanced testing capabilities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range of services and support using proprietary technologies to improve the customer and patient experience and provide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convenient access to data and analytics, including:</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More than 6.7 million enhanced clinical decision support (CDS) reports delivered to physicians and health systems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Technology-Enabled</w:t>
            </w:r>
          </w:p>
        </w:tc>
        <w:tc>
          <w:tcPr>
            <w:tcW w:w="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Online and mobile applications improving the patient experience by allowing patients to learn about the Company’s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Services and Support</w:t>
            </w:r>
          </w:p>
        </w:tc>
        <w:tc>
          <w:tcPr>
            <w:tcW w:w="280" w:type="dxa"/>
            <w:vAlign w:val="bottom"/>
          </w:tcPr>
          <w:p>
            <w:pPr>
              <w:spacing w:after="0"/>
              <w:rPr>
                <w:sz w:val="20"/>
                <w:szCs w:val="20"/>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offerings, schedule PSC visits, check-in upon PSC arrival, complete documentation, access tests and test results, and</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 their accounts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Online applications for providers, MCOs and accountable care organizations (ACOs) to obtain test results and population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health management data</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U.S. Market Changes on the Clinical Laboratory Business</w:t>
      </w:r>
    </w:p>
    <w:p>
      <w:pPr>
        <w:spacing w:after="0" w:line="144"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7"/>
          <w:szCs w:val="17"/>
          <w:color w:val="auto"/>
        </w:rPr>
        <w:t>The delivery of, and reimbursement for, healthcare continues to change in the U.S.,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increased coverage denials and claims edits, and decreased test utilization for the clinical laboratory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industry by imposing new, increasingly complex regulatory and administrative requirements. The government also has continued to adjust the Medicare and Medicaid fee schedules at the national and local level, and the Company believes that pressure to reduce government reimbursement will continue.</w:t>
      </w:r>
    </w:p>
    <w:p>
      <w:pPr>
        <w:spacing w:after="0" w:line="8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Fees for most laboratory services reimbursed by Medicare are established in the Clinical Laboratory Fee Schedule (CLFS) and fees for other testing reimbursed by Medicare, primarily related to pathology, are covered by the Physician Fee Schedule (PFS). During 2024, approximately 8.8% of Dx’s revenue was reimbursed under the CLFS (8.8% in 2023), and approximately 0.4% was reimbursed under the PFS (0.4% in 2023). Dx has experienced governmental reimbursement reductions as a direct result of several Congressional acts and regulatory initiatives, including those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9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most significant of these developments was the Protecting Access to Medicare Act (PAMA). Beginning in 2018, under PAMA, the Centers for Medicare and Medicaid Services (CMS) of the U.S. Department of Health and Human Services (HHS) set the CLFS using the weighted median of reported private payer prices paid to certain laboratories that receive a majority of their Medicare revenue from the CLFS and PFS and that bill Medicare under their own National Provider Identifier (NPI). Applicable labs, including Dx, were required to begin reporting their test-specific private payer payment amounts to CMS during the first quarter of 2017. CMS used that private market data to calculate weighted median prices for each test (based on applicable current procedural technology (CPT) codes) to represent the new CLFS rates beginning in 2018, subject to certain phase-in limits. For 2018 through 2020, a test price could not be reduced by more than 10.0% per year. PAMA resulted in a net reduction in reimbursement revenue of approximately $245.0 million between 2018-2020 from all payers affected by the CLFS.</w:t>
      </w:r>
    </w:p>
    <w:p>
      <w:pPr>
        <w:spacing w:after="0" w:line="9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Since 2021, the implementation of additional PAMA reporting and reimbursement changes have been delayed each year by legislators. Pursuant to PAMA as amended, for 2026 through 2028, a CLFS test price cannot be reduced by more than 15.0% per year (excluding non-PAMA reimbursement changes). CLFS rates for 2029 and subsequent periods will not be subject to phase-in limits. The phase-in of rates for Clinical Diagnostic Laboratory Tests (CDLTs) established in 2018 will resume in 2026. New CLFS rates will be established in 2027 based on data from 2019 to be reported in 2026. New CLFS rates will be established in 2030 based on data from 2028 to be reported in 2029. CLFS rates for Advanced Diagnostic Laboratory Tests will be updated annually. Unless implementation of PAMA is further delayed or changed, additional reductions in reimbursements of $100.0 million are expected for 2026 from all payers affected by the CLFS.</w:t>
      </w:r>
    </w:p>
    <w:p>
      <w:pPr>
        <w:spacing w:after="0" w:line="10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American Clinical Laboratory Association (ACLA) filed a federal civil action in 2017 challenging the legal basis for the data collection methodology CMS used to derive the data from which the median prices were calculated. On July 15, 2022, the U.S. Court of Appeals for the D.C. Circuit ruled in favor of ACLA on the merits, finding that CMS harmed laboratories by collecting data in an arbitrary and capricious manner, but refused to grant relief due to PAMA’s statutory bar on judicial review of establishment of the rates.</w:t>
      </w:r>
    </w:p>
    <w:p>
      <w:pPr>
        <w:spacing w:after="0" w:line="8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Since the initial data collection, CMS has revised its PAMA regulations to increase the number of hospital outreach labs that will be required to report private market data in future collections. Reports by the U.S. Government Accountability Office (GAO), the HHS Office of Inspector General (OIG), and the Medicare Payment Advisory Commission (MedPAC) on PAMA implementation have identified certain instances of actual or potential increased Medicare expenditures under PAMA, as well as potential alternative methodologies for data collection under PAMA, which could result in further efforts to amend PAMA by Congress.</w:t>
      </w:r>
    </w:p>
    <w:p>
      <w:pPr>
        <w:spacing w:after="0" w:line="9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ACLA has continued to work with Congress on potential legislative reform of PAMA, which if adopted could reduce the negative impact of PAMA as currently implemented by CMS. Under the Laboratory Access for Beneficiaries Act, MedPAC was required to conduct a study and make recommendations to Congress on ways to improve data collection, reporting, and rate setting under PAMA to achieve, in a less burdensome manner, CLFS rates that accurately and fairly reflect private market rates. MedPAC’s June 2021 report to Congress included an analysis of potential statistical sampling methodologies that could accomplish that objective, and ACLA incorporated the concept in PAMA reform proposals to Congress. On June 22, 2022, the Saving Access to Laboratory Services Act (SALSA), was introduced in both the U.S. Senate and the U.S. House of Representatives to provide for permanent reform of PAMA incorporating many of ACLA’s proposals. SALSA was re-introduced in the US. Senate on March 28, 2023, and in the U.S. House of Representatives on March 29, 2023. ACLA is considering amendments and alternatives to SALSA that remain under evaluation. The Company supports the ongoing efforts to prevent or lessen the negative impact of the changes to the CLFS pursuant to PAMA, and the full impact of those efforts, but what the long-term effect will be on the CLFS rates is not yet known.</w:t>
      </w:r>
    </w:p>
    <w:p>
      <w:pPr>
        <w:spacing w:after="0" w:line="1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Further healthcare reform could occur in 2025, including changes to the Patient Protection and Affordable Care Act (ACA) and Medicare and Medicaid reform, as well as administrative requirements that may continue to affect coverage, reimbursement, and utilization of laboratory services in ways that are currently unpredictable.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market-based changes have affected and will continue to affect the clinical laboratory business. Reimbursement from commercial payers for diagnostic testing may shift away from traditional, fee-for-service models to alternatives, including value-based, bundled pay-for-performance, and other risk-sharing payment models. The growth of the managed care sector and consolidation of MCOs present various challenges and opportunities to Dx and other clinical laboratories. Dx’s ability to attract and retain MCO customers has become even more important as the impact of various healthcare reform initiatives continues, including expanded health insurance exchanges and ACOs.</w:t>
      </w:r>
    </w:p>
    <w:p>
      <w:pPr>
        <w:spacing w:after="0" w:line="10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or based upon the proportionate share earned by the clinical laboratory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For the year ended December 31, 2024, capitated contracts with MCOs accounted for approximately $366.0 million, or 3.6%, of Dx’s revenues.</w:t>
      </w:r>
    </w:p>
    <w:p>
      <w:pPr>
        <w:spacing w:after="0" w:line="9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addition to reductions in test reimbursement, the Company also anticipates potential declines in test volumes as a result of increased controls over the utilization of laboratory services by Medicare, Medicaid, and other third-party payers, particularly MCOs. MCOs are implementing, directly or through third parties, various types of laboratory benefit management programs, which may include laboratory networks, utilization management tools (such as prior authorization and/or prior notification), and claims edits, which impact coverage and reimbursement of clinical laboratory tests. Some of these programs address clinical laboratory testing broadly, while others are focused on certain types of testing, including molecular, genetic, and toxicology testing. In addition, continued movement by patients into consumer-driven health plans may have an impact on the utilization of laboratory testing.</w:t>
      </w:r>
    </w:p>
    <w:p>
      <w:pPr>
        <w:spacing w:after="0" w:line="9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Helping to balance the overall negative market changes regarding reimbursement discussed above, the Company believes that the volume of clinical laboratory testing is positively influenced by several factors, including an increase in the number and types of tests that are readily available (due to advances in technology and increased cost efficiencies) for the diagnosis of disease, and the general aging of the U.S. population. Periodic infectious disease outbreaks such as the SARS-CoV-2 virus also have the potential to generate additional testing volume in the future and enhance stakeholders’ appreciation for the value of laboratory testing in combating future potential outbreaks. Dx believes that its enhanced and growing menu of tests, focus on high-potential clinical areas, leading position with CDx, broad geographic footprint, and operating efficiency make it well positioned for growth due to a number of market factors, primarily related to a continued drive to improve outcomes and reduce costs across the healthcare system, including but not limited to greater price transparency required under “surprise billing” laws and regulations requiring disclosure of hospital charges.</w:t>
      </w:r>
    </w:p>
    <w:p>
      <w:pPr>
        <w:spacing w:after="0" w:line="1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Biopharma Laboratory Services Segment</w:t>
      </w:r>
    </w:p>
    <w:p>
      <w:pPr>
        <w:spacing w:after="0" w:line="144"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During 2024, the BLS segment generated $2,922.6 million in revenues and $458.9 million in segment operating income, resulting in an operating margin of 15.7%.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8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2,774.2</w:t>
            </w:r>
          </w:p>
        </w:tc>
      </w:tr>
      <w:tr>
        <w:trPr>
          <w:trHeight w:val="232"/>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r>
    </w:tbl>
    <w:p>
      <w:pPr>
        <w:spacing w:after="0" w:line="9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BLS provides drug development, medical device and CDx development solutions from early-stage research to clinical development, along with support for crop protection and chemical testing, through its ED and Central Laboratory Services businesses. Its customers are comprised of pharmaceutical, biotechnology, medical device, and diagnostic companies across the world. With a global network of operations, BLS offers deep expertise in early development and clinical trials in each therapeutic area. BLS had provided support for more than 75% of the new drugs and therapeutic products approved in 2024 by the FDA, including 86% of those specific to oncology, 74% of those submitted by biotechnology companies, and 80% of those submitted by leading and large pharmaceutical companies. Through its industry-leading central laboratory business, it supports clinical trial activity in approximately 100 countries.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4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42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20" w:type="dxa"/>
            <w:vAlign w:val="bottom"/>
            <w:tcBorders>
              <w:bottom w:val="single" w:sz="8" w:color="auto"/>
            </w:tcBorders>
            <w:shd w:val="clear" w:color="auto" w:fill="000000"/>
          </w:tcPr>
          <w:p>
            <w:pPr>
              <w:spacing w:after="0"/>
              <w:rPr>
                <w:sz w:val="19"/>
                <w:szCs w:val="19"/>
                <w:color w:val="auto"/>
              </w:rPr>
            </w:pPr>
          </w:p>
        </w:tc>
        <w:tc>
          <w:tcPr>
            <w:tcW w:w="1680" w:type="dxa"/>
            <w:vAlign w:val="bottom"/>
            <w:tcBorders>
              <w:bottom w:val="single" w:sz="8" w:color="auto"/>
            </w:tcBorders>
            <w:shd w:val="clear" w:color="auto" w:fill="000000"/>
          </w:tcPr>
          <w:p>
            <w:pPr>
              <w:ind w:left="420"/>
              <w:spacing w:after="0"/>
              <w:rPr>
                <w:sz w:val="20"/>
                <w:szCs w:val="20"/>
                <w:color w:val="auto"/>
              </w:rPr>
            </w:pPr>
            <w:r>
              <w:rPr>
                <w:rFonts w:ascii="Times New Roman" w:cs="Times New Roman" w:eastAsia="Times New Roman" w:hAnsi="Times New Roman"/>
                <w:sz w:val="18"/>
                <w:szCs w:val="18"/>
                <w:b w:val="1"/>
                <w:bCs w:val="1"/>
                <w:color w:val="FFFFFF"/>
              </w:rPr>
              <w:t>Service</w:t>
            </w:r>
          </w:p>
        </w:tc>
        <w:tc>
          <w:tcPr>
            <w:tcW w:w="440" w:type="dxa"/>
            <w:vAlign w:val="bottom"/>
            <w:tcBorders>
              <w:bottom w:val="single" w:sz="8" w:color="auto"/>
            </w:tcBorders>
            <w:shd w:val="clear" w:color="auto" w:fill="000000"/>
          </w:tcPr>
          <w:p>
            <w:pPr>
              <w:spacing w:after="0"/>
              <w:rPr>
                <w:sz w:val="19"/>
                <w:szCs w:val="19"/>
                <w:color w:val="auto"/>
              </w:rPr>
            </w:pPr>
          </w:p>
        </w:tc>
        <w:tc>
          <w:tcPr>
            <w:tcW w:w="8680" w:type="dxa"/>
            <w:vAlign w:val="bottom"/>
            <w:tcBorders>
              <w:bottom w:val="single" w:sz="8" w:color="auto"/>
            </w:tcBorders>
            <w:shd w:val="clear" w:color="auto" w:fill="000000"/>
          </w:tcPr>
          <w:p>
            <w:pPr>
              <w:ind w:left="3680"/>
              <w:spacing w:after="0"/>
              <w:rPr>
                <w:sz w:val="20"/>
                <w:szCs w:val="20"/>
                <w:color w:val="auto"/>
              </w:rPr>
            </w:pPr>
            <w:r>
              <w:rPr>
                <w:rFonts w:ascii="Times New Roman" w:cs="Times New Roman" w:eastAsia="Times New Roman" w:hAnsi="Times New Roman"/>
                <w:sz w:val="18"/>
                <w:szCs w:val="18"/>
                <w:b w:val="1"/>
                <w:bCs w:val="1"/>
                <w:color w:val="FFFFFF"/>
              </w:rPr>
              <w:t>Key Features</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Lead optimization</w:t>
            </w:r>
            <w:r>
              <w:rPr>
                <w:rFonts w:ascii="Times New Roman" w:cs="Times New Roman" w:eastAsia="Times New Roman" w:hAnsi="Times New Roman"/>
                <w:sz w:val="18"/>
                <w:szCs w:val="18"/>
                <w:color w:val="auto"/>
              </w:rPr>
              <w:t>: connects early discovery activities to regulated preclinical studies</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Analytical services</w:t>
            </w:r>
            <w:r>
              <w:rPr>
                <w:rFonts w:ascii="Times New Roman" w:cs="Times New Roman" w:eastAsia="Times New Roman" w:hAnsi="Times New Roman"/>
                <w:sz w:val="18"/>
                <w:szCs w:val="18"/>
                <w:color w:val="auto"/>
              </w:rPr>
              <w:t>: bioanalytical testing services offering appropriate dose and frequency of drug administration</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Safety assessment</w:t>
            </w:r>
            <w:r>
              <w:rPr>
                <w:rFonts w:ascii="Times New Roman" w:cs="Times New Roman" w:eastAsia="Times New Roman" w:hAnsi="Times New Roman"/>
                <w:sz w:val="18"/>
                <w:szCs w:val="18"/>
                <w:color w:val="auto"/>
              </w:rPr>
              <w:t>: general, genetic, and immunotoxicology services; nonclinical pathology; safety pharmacology</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preclinical medical device services; respiratory services; and developmental and reproductive toxicology</w:t>
            </w:r>
          </w:p>
        </w:tc>
        <w:tc>
          <w:tcPr>
            <w:tcW w:w="0" w:type="dxa"/>
            <w:vAlign w:val="bottom"/>
          </w:tcPr>
          <w:p>
            <w:pPr>
              <w:spacing w:after="0"/>
              <w:rPr>
                <w:sz w:val="1"/>
                <w:szCs w:val="1"/>
                <w:color w:val="auto"/>
              </w:rPr>
            </w:pPr>
          </w:p>
        </w:tc>
      </w:tr>
      <w:tr>
        <w:trPr>
          <w:trHeight w:val="209"/>
        </w:trPr>
        <w:tc>
          <w:tcPr>
            <w:tcW w:w="2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Early Development</w:t>
            </w:r>
          </w:p>
        </w:tc>
        <w:tc>
          <w:tcPr>
            <w:tcW w:w="44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(DART) studies</w:t>
            </w:r>
          </w:p>
        </w:tc>
        <w:tc>
          <w:tcPr>
            <w:tcW w:w="0" w:type="dxa"/>
            <w:vAlign w:val="bottom"/>
          </w:tcPr>
          <w:p>
            <w:pPr>
              <w:spacing w:after="0"/>
              <w:rPr>
                <w:sz w:val="1"/>
                <w:szCs w:val="1"/>
                <w:color w:val="auto"/>
              </w:rPr>
            </w:pPr>
          </w:p>
        </w:tc>
      </w:tr>
      <w:tr>
        <w:trPr>
          <w:trHeight w:val="89"/>
        </w:trPr>
        <w:tc>
          <w:tcPr>
            <w:tcW w:w="2100" w:type="dxa"/>
            <w:vAlign w:val="bottom"/>
            <w:gridSpan w:val="2"/>
            <w:vMerge w:val="continue"/>
          </w:tcPr>
          <w:p>
            <w:pPr>
              <w:spacing w:after="0"/>
              <w:rPr>
                <w:sz w:val="7"/>
                <w:szCs w:val="7"/>
                <w:color w:val="auto"/>
              </w:rPr>
            </w:pPr>
          </w:p>
        </w:tc>
        <w:tc>
          <w:tcPr>
            <w:tcW w:w="4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Chemistry manufacturing services</w:t>
            </w:r>
            <w:r>
              <w:rPr>
                <w:rFonts w:ascii="Times New Roman" w:cs="Times New Roman" w:eastAsia="Times New Roman" w:hAnsi="Times New Roman"/>
                <w:sz w:val="18"/>
                <w:szCs w:val="18"/>
                <w:color w:val="auto"/>
                <w:w w:val="98"/>
              </w:rPr>
              <w:t>: robust, cost-effective solutions in the areas of safety, identity, strength, quality, and</w:t>
            </w:r>
          </w:p>
        </w:tc>
        <w:tc>
          <w:tcPr>
            <w:tcW w:w="0" w:type="dxa"/>
            <w:vAlign w:val="bottom"/>
          </w:tcPr>
          <w:p>
            <w:pPr>
              <w:spacing w:after="0"/>
              <w:rPr>
                <w:sz w:val="1"/>
                <w:szCs w:val="1"/>
                <w:color w:val="auto"/>
              </w:rPr>
            </w:pPr>
          </w:p>
        </w:tc>
      </w:tr>
      <w:tr>
        <w:trPr>
          <w:trHeight w:val="128"/>
        </w:trPr>
        <w:tc>
          <w:tcPr>
            <w:tcW w:w="2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Research Laboratories</w:t>
            </w:r>
          </w:p>
        </w:tc>
        <w:tc>
          <w:tcPr>
            <w:tcW w:w="44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1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purity assessments for biologics</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-974090</wp:posOffset>
            </wp:positionV>
            <wp:extent cx="7125335" cy="3117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5335" cy="3117850"/>
                    </a:xfrm>
                    <a:prstGeom prst="rect">
                      <a:avLst/>
                    </a:prstGeom>
                    <a:noFill/>
                  </pic:spPr>
                </pic:pic>
              </a:graphicData>
            </a:graphic>
          </wp:anchor>
        </w:drawing>
      </w:r>
    </w:p>
    <w:p>
      <w:pPr>
        <w:ind w:left="2580" w:right="560" w:hanging="154"/>
        <w:spacing w:after="0" w:line="247" w:lineRule="auto"/>
        <w:tabs>
          <w:tab w:leader="none" w:pos="2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phase development solutions</w:t>
      </w:r>
      <w:r>
        <w:rPr>
          <w:rFonts w:ascii="Times New Roman" w:cs="Times New Roman" w:eastAsia="Times New Roman" w:hAnsi="Times New Roman"/>
          <w:sz w:val="18"/>
          <w:szCs w:val="18"/>
          <w:color w:val="auto"/>
        </w:rPr>
        <w:t>: focused, multidisciplinary teams of experts that craft integrated solutions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and develop lead drug candidates and reduce development challenges</w:t>
      </w:r>
    </w:p>
    <w:p>
      <w:pPr>
        <w:ind w:left="2580" w:right="140" w:hanging="154"/>
        <w:spacing w:after="0" w:line="255" w:lineRule="auto"/>
        <w:tabs>
          <w:tab w:leader="none" w:pos="2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Crop protection and chemical testing</w:t>
      </w:r>
      <w:r>
        <w:rPr>
          <w:rFonts w:ascii="Times New Roman" w:cs="Times New Roman" w:eastAsia="Times New Roman" w:hAnsi="Times New Roman"/>
          <w:sz w:val="18"/>
          <w:szCs w:val="18"/>
          <w:color w:val="auto"/>
        </w:rPr>
        <w:t>: Consulting services for chemical manufacturers and other firms engaged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modern crop protection technology</w:t>
      </w:r>
    </w:p>
    <w:p>
      <w:pPr>
        <w:spacing w:after="0" w:line="34" w:lineRule="exact"/>
        <w:rPr>
          <w:rFonts w:ascii="Times New Roman" w:cs="Times New Roman" w:eastAsia="Times New Roman" w:hAnsi="Times New Roman"/>
          <w:sz w:val="18"/>
          <w:szCs w:val="18"/>
          <w:color w:val="auto"/>
        </w:rPr>
      </w:pPr>
    </w:p>
    <w:p>
      <w:pPr>
        <w:ind w:left="2580" w:hanging="154"/>
        <w:spacing w:after="0"/>
        <w:tabs>
          <w:tab w:leader="none" w:pos="2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laboratory services for individuals participating in clinical studies</w:t>
      </w:r>
    </w:p>
    <w:p>
      <w:pPr>
        <w:spacing w:after="0" w:line="25" w:lineRule="exact"/>
        <w:rPr>
          <w:rFonts w:ascii="Times New Roman" w:cs="Times New Roman" w:eastAsia="Times New Roman" w:hAnsi="Times New Roman"/>
          <w:sz w:val="18"/>
          <w:szCs w:val="18"/>
          <w:color w:val="auto"/>
        </w:rPr>
      </w:pPr>
    </w:p>
    <w:p>
      <w:pPr>
        <w:ind w:left="40" w:right="60" w:firstLine="2386"/>
        <w:spacing w:after="0" w:line="262" w:lineRule="auto"/>
        <w:tabs>
          <w:tab w:leader="none" w:pos="258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Provided to biopharmaceutical customers through its global network of central laboratories in the U.S., Europe, and Asia </w:t>
      </w:r>
      <w:r>
        <w:rPr>
          <w:rFonts w:ascii="Times New Roman" w:cs="Times New Roman" w:eastAsia="Times New Roman" w:hAnsi="Times New Roman"/>
          <w:sz w:val="17"/>
          <w:szCs w:val="17"/>
          <w:b w:val="1"/>
          <w:bCs w:val="1"/>
          <w:color w:val="auto"/>
        </w:rPr>
        <w:t xml:space="preserve">Central Laboratory Services </w:t>
      </w:r>
      <w:r>
        <w:rPr>
          <w:rFonts w:ascii="Times New Roman" w:cs="Times New Roman" w:eastAsia="Times New Roman" w:hAnsi="Times New Roman"/>
          <w:sz w:val="17"/>
          <w:szCs w:val="17"/>
          <w:color w:val="auto"/>
        </w:rPr>
        <w:t>• Operates world’s largest automated clinical trial sample collection kit production lines that enable kits to be produced</w:t>
      </w: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8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color w:val="auto"/>
              </w:rPr>
              <w:t>with 5.5 sigma precision</w:t>
            </w:r>
          </w:p>
        </w:tc>
        <w:tc>
          <w:tcPr>
            <w:tcW w:w="0" w:type="dxa"/>
            <w:vAlign w:val="bottom"/>
          </w:tcPr>
          <w:p>
            <w:pPr>
              <w:spacing w:after="0"/>
              <w:rPr>
                <w:sz w:val="1"/>
                <w:szCs w:val="1"/>
                <w:color w:val="auto"/>
              </w:rPr>
            </w:pPr>
          </w:p>
        </w:tc>
      </w:tr>
      <w:tr>
        <w:trPr>
          <w:trHeight w:val="232"/>
        </w:trPr>
        <w:tc>
          <w:tcPr>
            <w:tcW w:w="1960" w:type="dxa"/>
            <w:vAlign w:val="bottom"/>
          </w:tcPr>
          <w:p>
            <w:pPr>
              <w:spacing w:after="0"/>
              <w:rPr>
                <w:sz w:val="20"/>
                <w:szCs w:val="20"/>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 ISO 15189-certified laboratories</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9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960" w:type="dxa"/>
            <w:vAlign w:val="bottom"/>
          </w:tcPr>
          <w:p>
            <w:pPr>
              <w:spacing w:after="0"/>
              <w:rPr>
                <w:sz w:val="18"/>
                <w:szCs w:val="18"/>
                <w:color w:val="auto"/>
              </w:rPr>
            </w:pPr>
          </w:p>
        </w:tc>
        <w:tc>
          <w:tcPr>
            <w:tcW w:w="9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Proprietary digital tools and services providing customers with greater access to key insights and results, enhanced</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9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transparency, quality, and speed of clinical trial patient recruitment, resulting in reduced costs and increased market potential</w:t>
            </w:r>
          </w:p>
        </w:tc>
        <w:tc>
          <w:tcPr>
            <w:tcW w:w="0" w:type="dxa"/>
            <w:vAlign w:val="bottom"/>
          </w:tcPr>
          <w:p>
            <w:pPr>
              <w:spacing w:after="0"/>
              <w:rPr>
                <w:sz w:val="1"/>
                <w:szCs w:val="1"/>
                <w:color w:val="auto"/>
              </w:rPr>
            </w:pPr>
          </w:p>
        </w:tc>
      </w:tr>
      <w:tr>
        <w:trPr>
          <w:trHeight w:val="213"/>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Technology Solutions</w:t>
            </w:r>
          </w:p>
        </w:tc>
        <w:tc>
          <w:tcPr>
            <w:tcW w:w="9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for customers:</w:t>
            </w:r>
          </w:p>
        </w:tc>
        <w:tc>
          <w:tcPr>
            <w:tcW w:w="0" w:type="dxa"/>
            <w:vAlign w:val="bottom"/>
          </w:tcPr>
          <w:p>
            <w:pPr>
              <w:spacing w:after="0"/>
              <w:rPr>
                <w:sz w:val="1"/>
                <w:szCs w:val="1"/>
                <w:color w:val="auto"/>
              </w:rPr>
            </w:pPr>
          </w:p>
        </w:tc>
      </w:tr>
      <w:tr>
        <w:trPr>
          <w:trHeight w:val="126"/>
        </w:trPr>
        <w:tc>
          <w:tcPr>
            <w:tcW w:w="1960" w:type="dxa"/>
            <w:vAlign w:val="bottom"/>
            <w:vMerge w:val="continue"/>
          </w:tcPr>
          <w:p>
            <w:pPr>
              <w:spacing w:after="0"/>
              <w:rPr>
                <w:sz w:val="10"/>
                <w:szCs w:val="10"/>
                <w:color w:val="auto"/>
              </w:rPr>
            </w:pPr>
          </w:p>
        </w:tc>
        <w:tc>
          <w:tcPr>
            <w:tcW w:w="5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Metrics and benchmarking applications for monitoring patient recruitment for clinical site selection, protocol design,</w:t>
            </w: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optimization</w:t>
            </w:r>
          </w:p>
        </w:tc>
        <w:tc>
          <w:tcPr>
            <w:tcW w:w="0" w:type="dxa"/>
            <w:vAlign w:val="bottom"/>
          </w:tcPr>
          <w:p>
            <w:pPr>
              <w:spacing w:after="0"/>
              <w:rPr>
                <w:sz w:val="1"/>
                <w:szCs w:val="1"/>
                <w:color w:val="auto"/>
              </w:rPr>
            </w:pPr>
          </w:p>
        </w:tc>
      </w:tr>
      <w:tr>
        <w:trPr>
          <w:trHeight w:val="232"/>
        </w:trPr>
        <w:tc>
          <w:tcPr>
            <w:tcW w:w="1960" w:type="dxa"/>
            <w:vAlign w:val="bottom"/>
          </w:tcPr>
          <w:p>
            <w:pPr>
              <w:spacing w:after="0"/>
              <w:rPr>
                <w:sz w:val="20"/>
                <w:szCs w:val="20"/>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Ability to communicate with patients in the U.S. who may be eligible for clinical trials</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Culture</w:t>
      </w:r>
    </w:p>
    <w:p>
      <w:pPr>
        <w:spacing w:after="0" w:line="13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believes in the power of science to change lives. The Company’s culture centers around its mission to improve health and improve lives. The Company’s nearly 70,000 employees located across 17 countries are essential to the Company’s ability to innovate and advance science and technology to empower patients, providers, and pharmaceutical companies to make clear and confident decisions. Engaging the collective expertise and passion of its employees across the globe is vital to achieving the Company’s mission, which permeates its performance-driven, collaborative, inclusive, customer-centered, and inquisitive culture.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14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Company’s global talent is core to its ability to innovate and meet a wide range of patient and customer needs. The Company’s employees are globally dispersed, with 89% in the U.S. and Canada, 5% in Asia, and 6% in Europe. Of the Company’s global workforce, 87% of employees are full time, and 13% are part time. Approximately 71% of the Company’s employees globally are women. Of the U.S.-based employees, approximately 52% of the team are people of color. About 2.5% of the Company’s global workforce is employed under a collective bargaining agreement. Depending on business demand and the availability of talent, the Company supplements up to 8% of its workforce with contingent workers.</w:t>
      </w:r>
    </w:p>
    <w:p>
      <w:pPr>
        <w:spacing w:after="0" w:line="9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2024, the Company made investments in its talent to support retention and enable the Company’s growth. For the fourth consecutive year, hiring outpaced voluntary attrition, both globally and in the 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Initiatives</w:t>
      </w:r>
    </w:p>
    <w:p>
      <w:pPr>
        <w:spacing w:after="0" w:line="131"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The Company’s talent initiatives support the development of inclusive leadership and culture, enhancing the team member experience, and supporting community engagement and patient focus. Highlights for 2024 include:</w:t>
      </w:r>
    </w:p>
    <w:p>
      <w:pPr>
        <w:spacing w:after="0" w:line="109"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of a listening strategy, including measuring employee experience, inclusion, and well-being;</w:t>
      </w:r>
    </w:p>
    <w:p>
      <w:pPr>
        <w:spacing w:after="0" w:line="33"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Employee Resource Groups (ERGs), which are created and led by employee volunteers and open to all employees. ERGs are important resources to foster cross-connections, encourage belonging, support career development, and champion employee voices. The Company now has nine unique ERGs – with 118 local chapters across eight countries (United States, Belgium, China, Switzerland, Germany, India, Singapore, and United Kingdom)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ind w:left="640"/>
        <w:spacing w:after="0" w:line="263" w:lineRule="auto"/>
        <w:rPr>
          <w:sz w:val="20"/>
          <w:szCs w:val="20"/>
          <w:color w:val="auto"/>
        </w:rPr>
      </w:pPr>
      <w:r>
        <w:rPr>
          <w:rFonts w:ascii="Times New Roman" w:cs="Times New Roman" w:eastAsia="Times New Roman" w:hAnsi="Times New Roman"/>
          <w:sz w:val="18"/>
          <w:szCs w:val="18"/>
          <w:color w:val="auto"/>
        </w:rPr>
        <w:t>with 7,900 participating employees, representing a growth of 43% participation compared to the year prior. Each ERG has executive sponsorship from senior leadership;</w:t>
      </w:r>
    </w:p>
    <w:p>
      <w:pPr>
        <w:ind w:left="640" w:hanging="313"/>
        <w:spacing w:after="0" w:line="270"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locally relevant celebrations of cultural events reflecting the breadth of different cultures, constituencies, and observances throughout the year;</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deployment of anti-harassment training to employees around the world;</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support of mentoring programs, including a formal mentoring initiative;</w:t>
      </w:r>
    </w:p>
    <w:p>
      <w:pPr>
        <w:spacing w:after="0" w:line="33"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opportunities for greater engagement between employees and management, including quarterly global town halls, which are held virtually and are open to all employees, interactions with front-line employees on visits to the Company’s facilities, and in-person town halls with employees across business units and functions;</w:t>
      </w:r>
    </w:p>
    <w:p>
      <w:pPr>
        <w:spacing w:after="0" w:line="2"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Harmonization of the U.S. paid holiday policy to now recognize six company-designated holidays and one floating holiday – providing a more consistent and inclusive experience for eligible U.S. non-exempt employees. By offering the flexibility of a floating holiday, the Company aims to better accommodate the unique needs, beliefs, and backgrounds of our workforce; and</w:t>
      </w:r>
    </w:p>
    <w:p>
      <w:pPr>
        <w:spacing w:after="0" w:line="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several awards, such as Silver Military Friendly Award, Best Place to Work for Disability Inclusion, and Forbes’ Best Places to Work for Diversity.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Rewards</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operates in a complex, global, and dynamic healthcare industry and believes that its compensation and benefits programs are comprehensive and flexible to attract and retain the caliber of talent needed for the sustained growth and success of the business.</w:t>
      </w:r>
    </w:p>
    <w:p>
      <w:pPr>
        <w:spacing w:after="0" w:line="8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regularly monitors market activity and employee movement within and outside of the healthcare industry to maintain competitiveness. In 2024, the Company awarded $93 million in annual merit increases to recognize its talent and foster pay competitiveness in the market.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Well-being</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believes that its investments in compensation and employee well-being are crucial to maintaining comprehensive positioning and a productive, engaged workforce. The Company fulfills its commitment to employee well-being by investing in a variety of holistic tools and resources to support its employees’ physical, emotional, and financial well-being.</w:t>
      </w:r>
    </w:p>
    <w:p>
      <w:pPr>
        <w:spacing w:after="0" w:line="9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early 2024, the Company re-launched its wellness program making it more inclusive of both domestic and international employees. This new program, called “Best You”, translates easily into the different languages of our international employees and can be tailored to local needs by “Best You Champions” that are present in most countries where the Company has in-office employees. The Company is integrating Best You into the fabric of our company worldwide. The Company has outreach programs to support its ERGs and other groups in providing wellness support to members.</w:t>
      </w:r>
    </w:p>
    <w:p>
      <w:pPr>
        <w:spacing w:after="0" w:line="8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support of Best You, the Company continues to offer zero-cost telehealth and implemented free virtual Primary care visits for medical, dermatological, and behavioral treatment as part of its medical plans in the U.S., employer matching 401(k) contributions, financial wellness workshops, and custom stress management strategies for teams around the world.</w:t>
      </w:r>
    </w:p>
    <w:p>
      <w:pPr>
        <w:spacing w:after="0" w:line="8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also understands the importance of providing mental health resources to support employees and their families. In 2024, the Company implemented a global employee assistance program (EAP) solution to support employee mental health across the globe. In addition, a suite of People Leader Mental Health Trainings was expanded to further support employees. Best You wellbeing breaks were leveraged by leaders for their teams across the globe, with sessions such as guided meditations and stretch breaks. In partnership with EAP providers, the Company recognized World Kindness Day in November 2024 with events and education throughout the whole month, including videos from our executive leadership team educating and supporting a culture of Kindness, which also helps build an inclusive culture committed to the Company’s mission and strategy.</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Additional efforts in support of employee wellbeing include:</w:t>
      </w:r>
    </w:p>
    <w:p>
      <w:pPr>
        <w:spacing w:after="0" w:line="127" w:lineRule="exact"/>
        <w:rPr>
          <w:sz w:val="20"/>
          <w:szCs w:val="20"/>
          <w:color w:val="auto"/>
        </w:rPr>
      </w:pPr>
    </w:p>
    <w:p>
      <w:pPr>
        <w:ind w:left="640" w:hanging="313"/>
        <w:spacing w:after="0" w:line="270"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cost of monthly medical insurance contributions by $240 per year for more than 17,500 employees in the U.S. earning less than $50,000 per year who participate in Company medical plans;</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free annual wellness screenings for U.S. employees and covered spouses/domestic partners focusing on identifying metabolic conditions that can increase the risk of heart attack, stroke and diabetes. Nearly 28,000 U.S. employees and their covered spouses completed the no-cost screening and earned an annual medical plan contribution discount of up to $4,560;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ind w:left="640" w:hanging="313"/>
        <w:spacing w:after="0" w:line="263"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up to $1,000 in health reimbursement arrangement and health savings account contributions, available to approximately 31,000 employees and their spouses or domestic partners to encourage health and wellness education and activities;</w:t>
      </w: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Reimbursing up to $300 in fitness-related expenses for more than 13,000 employees across the U.S. and Canada;</w:t>
      </w:r>
    </w:p>
    <w:p>
      <w:pPr>
        <w:spacing w:after="0" w:line="4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free ColoFit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kits to over 5,000 employees to enhance colon cancer awareness and screenings;</w:t>
      </w:r>
    </w:p>
    <w:p>
      <w:pPr>
        <w:spacing w:after="0" w:line="12" w:lineRule="exact"/>
        <w:rPr>
          <w:rFonts w:ascii="Times New Roman" w:cs="Times New Roman" w:eastAsia="Times New Roman" w:hAnsi="Times New Roman"/>
          <w:sz w:val="18"/>
          <w:szCs w:val="18"/>
          <w:color w:val="auto"/>
        </w:rPr>
      </w:pPr>
    </w:p>
    <w:p>
      <w:pPr>
        <w:ind w:left="640" w:hanging="313"/>
        <w:spacing w:after="0" w:line="25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Weight Watchers at no cost to employees and adding Weight Watchers Clinic access to support weight health with more than 7,400 employees actively engaged; and</w:t>
      </w:r>
    </w:p>
    <w:p>
      <w:pPr>
        <w:ind w:left="640" w:right="20" w:hanging="313"/>
        <w:spacing w:after="0" w:line="277"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$0 MDLIVE services to include Virtual Primary Care alongside Urgent Care, Behavioral Health, and Dermatology for U.S. medical plan participants.</w:t>
      </w:r>
    </w:p>
    <w:p>
      <w:pPr>
        <w:spacing w:after="0" w:line="8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Company’s No Charge Laboratory Testing program enables eligible U.S. employees and their covered dependents to offset any outstanding balance for most lab work sent to a Company facility or patient service center, following insurance claim processing. Additionally, the Company offers global initiatives to encourage sustainable transportation through programs such as discounted transportation vouchers, reduced-cost bicycle leases, and mileage reimbursement for bicycle commuters, with benefits varying by country.</w:t>
      </w:r>
    </w:p>
    <w:p>
      <w:pPr>
        <w:spacing w:after="0" w:line="8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To enable its employees to establish ownership in the Company, the Company offers an employee stock purchase plan that permits substantially all U.S., Canada, and United Kingdom employees to purchase Common Stock at a 15% discount.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Training</w:t>
      </w:r>
    </w:p>
    <w:p>
      <w:pPr>
        <w:spacing w:after="0" w:line="14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As an organization that pursues answers to the world’s most critical healthcare questions, the Company supports its employees with a work environment that emphasizes continuous learning and development. Through these learning and development opportunities, the Company encourages learning, growth, and innovation to deliver better patient care and new solutions for its customers. The Company provides professional skills training and role specific training, along with formal and informal mentoring and job rotations. The Company onboards and develops new hires through extensive training provided by a dedicated team of technical skill trainers with different departments and functions.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Training Milestones:</w:t>
      </w:r>
    </w:p>
    <w:p>
      <w:pPr>
        <w:spacing w:after="0" w:line="127" w:lineRule="exact"/>
        <w:rPr>
          <w:sz w:val="20"/>
          <w:szCs w:val="20"/>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more than 13,000 courses, many of which are available virtually within the global learning management system;</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over 1.1 million hours of training, primarily consisting of regulatory and technical training;</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mentoring programs that nearly 2,800 employees participated in as either mentors or mentees; and</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more than 15,000 hours of professional development.</w:t>
      </w:r>
    </w:p>
    <w:p>
      <w:pPr>
        <w:spacing w:after="0" w:line="14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a leader in science, the Company has almost 12,000 science-based jobs and leverages several internal scientific forums to help scientists at all levels of experience continuously learn, innovate, and advance their skills in the healthcare industry. Through these forums, those in scientific roles are staying current in their fields of study, sharing their knowledge with others, and helping to expand the skills and experience of their colleagues.</w:t>
      </w:r>
    </w:p>
    <w:p>
      <w:pPr>
        <w:spacing w:after="0" w:line="8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Company’s ongoing investment in the development of its people stems from a continuing commitment to build a highly talented team. In addition to traditional tuition reimbursement, over the past four years Labcorp Education Advantage has actively supported employees in their pursuit of higher education by covering tuition costs for healthcare or life science degree programs that contribute to their career advancement within the Company. To date, more than 1,800 employees have benefited from this initiative, while also avoiding student loan debt.</w:t>
      </w:r>
    </w:p>
    <w:p>
      <w:pPr>
        <w:spacing w:after="0" w:line="8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To assist with creating a pipeline of future medical lab scientists to support its customers, the Company established the Labcorp School of Medical Laboratory Sciences. The National Accrediting Agency of Clinical Laboratory Sciences approved the Company’s application, which allowed the Company to host an inaugural class of students as part of its accreditation process. In September 2024, five students across three U.S. sites joined the inaugural class. The Company is providing training to students tuition free to support them in obtaining certification for technical careers that are in high demand. Students have the option to work in the Company’s laboratories outside of school hours.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13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nature of the Company’s business requires employees to work directly with patients and animals. This includes the handling, processing, and testing of human or animal specimens on a daily basis. As the health and safety of employees is a primary concern, the Company has established numerous employee health and safety protocols, including engineering and administrative controls, policies, procedures, processes, and training to minimize the potential for, and the severity of, work-related injuries and illnesses.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2024, the Company reduced its work-related injury rate per 100 employees by 14.2% and its work-related lost work injury rate per 100 employees by 24.7%. The Company completed a Corporate EHS Audit on 11 significant laboratory facilities, allowing it to assess locations against common expectations and performance criteria. The Company also completed nearly 120,000 safety training sessions covering topics that included bloodborne pathogen, chemical safety, and employee health and safety general awareness.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Engagement</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Labcorp fosters a culture of giving back beyond the scope of day-to-day tasks. The Access for All initiative leads community engagement efforts of Labcorp and its employees to make a positive impact across the globe. The Labcorp Charitable Foundation extends Labcorp’s commitment to Access for All by investing in programs in communities across the globe in the areas of health, education and community.</w:t>
      </w:r>
    </w:p>
    <w:p>
      <w:pPr>
        <w:spacing w:after="0" w:line="9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2024, colleagues continued to support the Company’s global Employee Giving Campaign. Through the campaign, colleagues are able to collectively support the following charities: American Cancer Society, American Heart Association, American Diabetes Association, American Red Cross, United Way, National Urban League, Project HOPE, and new in 2024 to expand Labcorp’s global reach, the International Committee of the Red Cross. These agencies align with Labcorp’s mission to improve health and improve lives by leading the way in healthcare research, providing services to benefit the underserved, and supporting those affected by disaster. Additionally, The Labcorp Charitable Foundation offers a match opportunity for contributions made through the campaign.</w:t>
      </w:r>
    </w:p>
    <w:p>
      <w:pPr>
        <w:spacing w:after="0" w:line="9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Labcorp, its employees and The Labcorp Charitable Foundation are committed to expanding access to healthcare, education, housing, and community support through strategic philanthropy and volunteerism. The Company’s initiatives address social determinants of health while fostering science, technology, engineering, and math education, particularly in underserved communities. By investing in the well-being of those Labcorp serves, the Company helps build stronger communities, remove barriers to healthcare and create opportunities for success.</w:t>
      </w:r>
    </w:p>
    <w:p>
      <w:pPr>
        <w:spacing w:after="0" w:line="8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Throughout the year, whether through financial grants or employee volunteerism, the Company is focused on providing Access for All. Labcorp’s employees assisted in building homes, collecting food, serving meals, and providing essential items to help in underserved communities. The Company financially supported patient assistance programs and community education programs to help improve health of the patients it serves.</w:t>
      </w:r>
    </w:p>
    <w:p>
      <w:pPr>
        <w:spacing w:after="0" w:line="9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Dynacare, a Labcorp company committed to Canada’s health and wellness, continued their efforts to raise awareness about type 2 diabetes and provide testing to those that need it most. During Diabetes Awareness Month, Dynacare partnered with Diabetes Canada to organize five mobile clinics in communities that are most at risk of developing diabetes.</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Continuing efforts to make a positive impact, colleagues from across the globe teamed up to serve their communities through the Healthy Communities Contest. This contest ran for three months and encouraged Labcorp employees to unite in acts of kindness to advance Access for All through volunteerism. In return, three teams were selected for their chosen charity to receive a grant from The Labcorp Charitable Foundation.</w:t>
      </w:r>
    </w:p>
    <w:p>
      <w:pPr>
        <w:spacing w:after="0" w:line="8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Labcorp Charitable Foundation, a private, charitable 501(c)(3) organization established and supported by the Company, invested in more than 200 programs in 2024 that align with the Company’s strategic mission to improve health and improve lives by supporting efforts that increase access to health services, particularly for underserved populations across the globe. Through a partnership with Project HOPE, the Labcorp Charitable Foundation supported a rural health program in China to increase access to pediatric and cancer care services.</w:t>
      </w:r>
    </w:p>
    <w:p>
      <w:pPr>
        <w:spacing w:after="0" w:line="10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Labcorp Charitable Foundation remained committed to providing relief to communities in need following disaster through support of the American Red Cross Disaster Responder Program. This ongoing commitment supports enables the American Red Cross to provide individual emergency assistance, disaster preparedness, food, shelter and relief items, health and emotional support, and community recovery leading up to and following a disaster or crisis. The Foundation also matched employee donations made to qualified health and humanitarian organizations.</w:t>
      </w:r>
    </w:p>
    <w:p>
      <w:pPr>
        <w:spacing w:after="0" w:line="8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Additionally, in response to the devastation caused by storms such as Hurricanes Helene and Milton along the U.S. East Coast, Labcorp employees mobilized to raise funds, organize donation drives and directly assist impacted communities.</w:t>
      </w:r>
    </w:p>
    <w:p>
      <w:pPr>
        <w:spacing w:after="0" w:line="6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2024, Labcorp continued to empower its employees to serve as agents of positive change, aligning their personal values with the Company's mission of enhancing health, through two signature employee engagement programs. Double Your Donation offers a 1:1 match by The Labcorp Charitable Foundation for Labcorp employee donations to qualifying non-profit organizations. Dollars for Doers encourages Labcorp employees to support their communities through volunteer service by offering a monetary donation from The Labcorp Charitable Foundation in recognition of their volunteer or board service to eligible non-profit organizations.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provides its services to a broad range of customers across Dx and BLS. The primary customer groups serviced by the Company include:</w:t>
      </w:r>
    </w:p>
    <w:p>
      <w:pPr>
        <w:spacing w:after="0" w:line="123" w:lineRule="exact"/>
        <w:rPr>
          <w:sz w:val="20"/>
          <w:szCs w:val="20"/>
          <w:color w:val="auto"/>
        </w:rPr>
      </w:pPr>
    </w:p>
    <w:p>
      <w:pPr>
        <w:jc w:val="both"/>
        <w:ind w:left="640" w:hanging="313"/>
        <w:spacing w:after="0" w:line="263"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Payers - Health Plans</w:t>
      </w:r>
      <w:r>
        <w:rPr>
          <w:rFonts w:ascii="Times New Roman" w:cs="Times New Roman" w:eastAsia="Times New Roman" w:hAnsi="Times New Roman"/>
          <w:sz w:val="18"/>
          <w:szCs w:val="18"/>
          <w:color w:val="auto"/>
        </w:rPr>
        <w:t>. The Company serves many health plans, including MCOs, employer plans, and other health insurance providers,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operates on a national, regional, or local basis. In certain locations, health plans may delegate to independent physician associations (IPAs) or other alternative delivery systems (e.g., ACOs) the ability to negotiate for services on behalf of certain members.</w:t>
      </w:r>
    </w:p>
    <w:p>
      <w:pPr>
        <w:jc w:val="both"/>
        <w:ind w:left="640" w:hanging="313"/>
        <w:spacing w:after="0" w:line="263"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Pharmaceutical, Biotechnology, Medical Device, and Diagnostics Companies and Contract Research Organizations (CROs)</w:t>
      </w:r>
      <w:r>
        <w:rPr>
          <w:rFonts w:ascii="Times New Roman" w:cs="Times New Roman" w:eastAsia="Times New Roman" w:hAnsi="Times New Roman"/>
          <w:sz w:val="18"/>
          <w:szCs w:val="18"/>
          <w:color w:val="auto"/>
        </w:rPr>
        <w: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services to hundreds of pharmaceutical, biotechnology, medical device, and diagnostics companies and CROs ranging from the world’s largest multi-nationals to emerging, small and mid-market companies.</w:t>
      </w:r>
    </w:p>
    <w:p>
      <w:pPr>
        <w:jc w:val="both"/>
        <w:ind w:left="640" w:hanging="313"/>
        <w:spacing w:after="0" w:line="257"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Physicians, Large Provider Organizations, and Other Healthcare Providers</w:t>
      </w:r>
      <w:r>
        <w:rPr>
          <w:rFonts w:ascii="Times New Roman" w:cs="Times New Roman" w:eastAsia="Times New Roman" w:hAnsi="Times New Roman"/>
          <w:sz w:val="18"/>
          <w:szCs w:val="18"/>
          <w:color w:val="auto"/>
        </w:rPr>
        <w:t>. Physicians and other healthcare providers who are authorized to 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laboratory testing for their patients are a primary source of requests for Dx’s testing services. These physicians and other providers may practice in a range of settings, including small medical practices, community-based clinics, and large, multidisciplinary organizations.</w:t>
      </w:r>
    </w:p>
    <w:p>
      <w:pPr>
        <w:spacing w:after="0" w:line="2" w:lineRule="exact"/>
        <w:rPr>
          <w:rFonts w:ascii="Times New Roman" w:cs="Times New Roman" w:eastAsia="Times New Roman" w:hAnsi="Times New Roman"/>
          <w:sz w:val="18"/>
          <w:szCs w:val="18"/>
          <w:color w:val="auto"/>
        </w:rPr>
      </w:pPr>
    </w:p>
    <w:p>
      <w:pPr>
        <w:jc w:val="both"/>
        <w:ind w:left="640" w:hanging="313"/>
        <w:spacing w:after="0" w:line="278"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Hospitals and Health Systems</w:t>
      </w:r>
      <w:r>
        <w:rPr>
          <w:rFonts w:ascii="Times New Roman" w:cs="Times New Roman" w:eastAsia="Times New Roman" w:hAnsi="Times New Roman"/>
          <w:sz w:val="17"/>
          <w:szCs w:val="17"/>
          <w:color w:val="auto"/>
        </w:rPr>
        <w:t>. The Company provides hospitals and health systems with services ranging from core and specialty testing to supply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chain and technical support services, and the opportunity to be a research partner for participation in studies and clinical trials with BLS. In some cases, a hospital’s on-site laboratory may be operated or managed by an outside contractor or independent laboratory, including the Company.</w:t>
      </w:r>
    </w:p>
    <w:p>
      <w:pPr>
        <w:spacing w:after="0" w:line="1" w:lineRule="exact"/>
        <w:rPr>
          <w:rFonts w:ascii="Times New Roman" w:cs="Times New Roman" w:eastAsia="Times New Roman" w:hAnsi="Times New Roman"/>
          <w:sz w:val="17"/>
          <w:szCs w:val="17"/>
          <w:color w:val="auto"/>
        </w:rPr>
      </w:pPr>
    </w:p>
    <w:p>
      <w:pPr>
        <w:ind w:left="640" w:hanging="313"/>
        <w:spacing w:after="0" w:line="28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Customers</w:t>
      </w:r>
      <w:r>
        <w:rPr>
          <w:rFonts w:ascii="Times New Roman" w:cs="Times New Roman" w:eastAsia="Times New Roman" w:hAnsi="Times New Roman"/>
          <w:sz w:val="18"/>
          <w:szCs w:val="18"/>
          <w:color w:val="auto"/>
        </w:rPr>
        <w:t>. The Company serves a broad range of other customers, including, but not limited to, governmental agencies, employers,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consumers, crop protection and chemical companies, academic institutions, independent clinical laboratories, and retailers.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Customer Service</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offers its services through a sales force focused on serving the specific needs of customers in different market segments. The Company’s sales force is responsible for both new sales and for customer retention and relationship building.</w:t>
      </w:r>
    </w:p>
    <w:p>
      <w:pPr>
        <w:spacing w:after="0" w:line="6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For Dx, these market segments have different representatives focused on each segment in order to better understand and respond to the unique needs of each segment. These include clinical areas, such as primary care, oncology, women’s health, autoimmune diseases, neurology, infectious diseases, endocrinology, gastroenterology, rheumatology and other specialties; payers, such as ACOs, MCOs, and employers, and customers, such as physicians and physician organizations, and hospitals and health systems. The BLS global sales organization provides customer coverage across the pharmaceutical, biotechnology, and medical device industries for services including lead optimization, preclinical safety assessment, analytical services, clinical trial enablement through data insights, central laboratory services, biomarker testing, CDx, and technology solutions. As part of the Company’s ongoing strategic priority to maximize the value of its unique leadership in both diagnostics and biopharma laboratory services, sales representatives from each business segment work together on outreach to potential customers of both businesses, including hospitals and health systems that may purchase testing and participate in clinical trials, or pharmaceutical, biotechnology, or medical device companies whose studies may benefit from use of Dx’s specialty testing, companion diagnostics, and network of PSCs.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Dx</w:t>
      </w:r>
    </w:p>
    <w:p>
      <w:pPr>
        <w:spacing w:after="0" w:line="14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believes that in 2024, the U.S. clinical laboratory testing industry generated revenues of more than $80 billion. The clinical laboratory industry consists primarily of three types of providers: hospital-based laboratories, physician-office laboratories, and independent clinical and anatomical pathology laboratories, such as those operated by Dx.</w:t>
      </w:r>
    </w:p>
    <w:p>
      <w:pPr>
        <w:spacing w:after="0" w:line="8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clinical laboratory business is intensely competitive, and the Company believes that both competition and consolidation in the clinical laboratory business will continue. CMS has estimated that, as of March 2024 (the most recent data available as of the filing of this report), there were nearly 320,000 clinical laboratories of all types, including approximately 9,200 hospital-based laboratories, just under 123,000 physician-office laboratories, and approximately 8,500 independent clinical and anatomic pathology laboratories in the U.S. Dx competes with all of those laboratories. In addition, an increasing number of health system laboratories have been expanding their operations and business, resulting in greater competition for testing from physicians within those systems and from unaffiliated physicians in the health system laboratories’ service areas.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Dx believes that the selection of a laboratory is primarily based on the following factors, all of which the Company believes Dx competes favorably in:</w:t>
      </w:r>
    </w:p>
    <w:p>
      <w:pPr>
        <w:spacing w:after="0" w:line="127"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strength and reputation;</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in science, technology, and innovation;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satisfaction levels;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scale, and local presence with access to testing within 10 miles of most households;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timeliness, and consistency in reporting test results;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relationships with MCOs;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type of tests performed;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solutions offered;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the laboratory’s services.</w:t>
      </w:r>
    </w:p>
    <w:p>
      <w:pPr>
        <w:spacing w:after="0" w:line="9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to the factors listed above, the Company believes that the operational and economic efficiencies provided by its integrated service and logistics network, large-scale automated testing, and regular introduction of new technologies will allow the Company to compete effectively with other providers of laboratory services.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BLS</w:t>
      </w:r>
    </w:p>
    <w:p>
      <w:pPr>
        <w:spacing w:after="0" w:line="14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believes that in 2024, the global pharmaceutical industry spent more than $200 billion on R&amp;D. Drug development services businesses like BLS typically derive most of their revenue from R&amp;D, as well as marketing expenditures, of the pharmaceutical, biotechnology, and medical device industries.</w:t>
      </w:r>
    </w:p>
    <w:p>
      <w:pPr>
        <w:spacing w:after="0" w:line="8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Outsourcing of R&amp;D services to CROs and other service providers remains integral to the drug development process. The pharmaceutical market will continue to feel the pressure to improve return on investment, increase R&amp;D productivity, stay abreast of scientific advancements and comply with stringent government regulations and attempts to reduce and control the price of prescription drugs, all supporting the outsourcing model. In the face of mounting complexity, the investment and amount of time required to develop new products are significant and have been increasing. These trends create opportunities for BLS and other companies providing drug development services that can help make the development process more efficient.</w:t>
      </w:r>
    </w:p>
    <w:p>
      <w:pPr>
        <w:spacing w:after="0" w:line="9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drug development industry has many participants ranging from hundreds of small providers to a limited number of large companies with global capabilities. BLS competes against these small and large businesses, as well as in-house departments of pharmaceutical, biotechnology, medical device, and diagnostic companies, and to a lesser extent, selected academic research centers, universities, and teaching hospitals.</w:t>
      </w:r>
    </w:p>
    <w:p>
      <w:pPr>
        <w:spacing w:after="0" w:line="96"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BLS believes that the selection of a drug development partner is primarily based on the following factors, all of which the Company believes it competes favorably in:</w:t>
      </w:r>
    </w:p>
    <w:p>
      <w:pPr>
        <w:spacing w:after="0" w:line="69" w:lineRule="exact"/>
        <w:rPr>
          <w:sz w:val="20"/>
          <w:szCs w:val="20"/>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for quality and regulatory compliance;</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timely performance;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and experience in operations;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technology and innovation;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therapeutic and scientific expertise;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analytical capabilities;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enhance patient recruitment;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service offerings;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strengths in various geographic markets;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facilities;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relationships;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scale;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support decentralized clinical trials;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CDx;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talent.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Dx and BLS have comprehensive quality systems and processes appropriate for their respective businesses. The Company’s quality programs are overseen by Dx’s National Office of Quality, BLS’s Global Regulatory Compliance and Quality Assurance Unit, BLS’s central laboratory services expanded laboratory management services department, and the Company’s global supply chain management department and project management staff. The Company has procedures for monitoring its internal performance, as well as that of its vendors, suppliers, and other key stakeholders. In addition, various groups 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departments within the Company provide oversight to monitor and control vendor products and performance and play an essential role in the Company’s approach to quality through improvements in processes and automation.</w:t>
      </w:r>
    </w:p>
    <w:p>
      <w:pPr>
        <w:spacing w:after="0" w:line="69"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Virtually all facets of the Company’s services are subject to quality programs and procedures, including accuracy and reproducibility of tests, turnaround time, customer service, marketing communications, data integrity, patient satisfaction, and billing. The Company’s quality programs include measures that compare current performance against desired performance goals to monitor critical aspects of service to its customers and patients. This includes licensing, credentialing, training, competency assessments of professional and technical staff, and internal auditing. In addition to the Company’s own quality programs, the Company’s laboratories, facilities, and processes are subject to on-site regulatory agency inspections and accreditation evaluations, surveys and proficiency testing by local or national government agencies and independent external accrediting programs, and inspections and audits by customers.</w:t>
      </w:r>
    </w:p>
    <w:p>
      <w:pPr>
        <w:spacing w:after="0" w:line="7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Thirty-five of the Company’s laboratories have received ISO 15189, ISO 17025, ISO 13485 and/or ISO 14791 accreditation, demonstrating that they meet international standards for quality and technical competence.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11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is committed to developing and commercializing technology-enabled solutions it believes will support its operations and provide better care. The Company operates standard platforms for its core business services and its financial and reporting systems. These standard systems provide consistency within workflows and information as well as a high level of system availability, security, and stability. The primary laboratory systems include standardized support for molecular diagnostics, digital pathology, and enhanced specialty laboratory solutions. The Company’s centralized information systems are responsible for operational efficiencies, enabling the Company to achieve consistent, structured, and standardized operating results and effective patient care.</w:t>
      </w:r>
    </w:p>
    <w:p>
      <w:pPr>
        <w:spacing w:after="0" w:line="10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information systems used by Dx and BLS are discussed in more detail in the sections dedicated to each of those segments. The Company’s cybersecurity processes and systems are discussed in more detail under “Cybersecurity” in Item 1C.</w:t>
      </w:r>
    </w:p>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several years the Company has deployed AI and machine learning tools to supplement its existing data analysis projects and support greater efficiency in its operations. The Company is currently evaluating and testing various additional applications of AI and machine learning tools, while also implementing policies and processes to provide appropriate oversight over the use of AI and machine learning tools by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3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Occasionally, the Company also licenses U.S. and non-U.S. patents, patent applications, technology, trade secrets, know-how, copyrights, and trademarks owned by others. The Company believes, however, that no single patent, technology, trademark, intellectual property asset, or license is material to its business as a whole.</w:t>
      </w:r>
    </w:p>
    <w:p>
      <w:pPr>
        <w:spacing w:after="0" w:line="9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Patents covering the Company’s technologies are subject to challenges. Issued patents may be successfully challenged, invalidated, circumvented, or declared unenforceable so that patent rights would not create an effective competitive barrier. In addition, the laws of some countries may not protect proprietary rights to the same extent as do the laws of the U.S.</w:t>
      </w:r>
    </w:p>
    <w:p>
      <w:pPr>
        <w:spacing w:after="0" w:line="9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Parties may file claims asserting that the Company’s technologies infringe on their intellectual property. The Company cannot predict whether parties will assert such claims against it, or whether those claims will harm its business. If the Company is forced to defend against such claims, the Company could face costly litigation and diversion of management’s attention and resources. As result of such disputes, the Company may have to develop costly non-infringing technology or enter into licensing agreements. These agreements, if necessary, may require financial or other terms that could have an adverse effect on the Company’s business and financial condition.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Reimbursement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3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Because the Company operates in multiple distinct environments and in a variety of locations worldwide, it is subject to numerous, and sometimes overlapping, regulatory requirements. Both the clinical laboratory and the biopharma laboratory businesses are subject to significant governmental regulation at the international, national, state, and local levels. As described below, these regulations concern licensure and operation of clinical laboratories, claims submission and reimbursement for laboratory services, healthcare fraud and abuse, biopharma laboratory services, security and confidentiality of health information, quality, and environmental and occupational safety.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Clinical Laboratories</w:t>
      </w:r>
    </w:p>
    <w:p>
      <w:pPr>
        <w:spacing w:after="0" w:line="14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Virtually all clinical laboratories operating in the U.S. must be certified by the federal government or by a federally approved accreditation agency. In most cases, that certification is regulated by CMS through the Clinical Laboratory Improvement Act of 1967 and the Clinical Laboratory Improvement Amendments of 1988 (CLIA), which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92"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8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9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laboratory requirements applicable to its laboratories operating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and Other Regulatory Agency Laws and Regulations</w:t>
      </w:r>
    </w:p>
    <w:p>
      <w:pPr>
        <w:spacing w:after="0" w:line="13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Various regulatory agencies, including CMS and the FDA in the U.S., regulate the development, testing, manufacturing, labeling, advertising, marketing, distribution, storage, import, export, performance, and surveillance of diagnostic and therapeutic offerings, including certain offerings provided by the Company and the development of therapeutic products that comprise the majority of BLS’s business. The FDA and other regulatory agencies periodically inspect and review the manufacturing processes and performance of diagnostic and therapeutic products, while CMS, certain state programs, and accreditation entities inspect and review the facilities, personnel, and procedures of clinical laboratories and their laboratory operations. The FDA and other regulatory agencies also periodically inspect test facilities that perform tests on samples from preclinical studies and on human subjects enrolled in such clinical studies of drugs, biologics, and medical devices. These agencies have the authority to take various administrative and legal actions for noncompliance, such as fines, withdrawal of product approval, warning or untitled letters, seizures, recalls, injunctions, and other civil and criminal sanctions.</w:t>
      </w:r>
    </w:p>
    <w:p>
      <w:pPr>
        <w:spacing w:after="0" w:line="10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Since 2014, there have been ongoing discussions and advocacy between stakeholders, including the clinical laboratory industry, the FDA, and Congress, about potential FDA regulation of laboratory-developed tests (LDTs), which are assays developed and performed in-house by clinical laboratories and can be made available to the public without pre-market review by the FDA, with limited exceptions that require LDTs to follow pre-market requirements, such as during the COVID-19 public health emergency.</w:t>
      </w:r>
    </w:p>
    <w:p>
      <w:pPr>
        <w:spacing w:after="0" w:line="87"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On September 29, 2023, the FDA released a proposed rule to regulate LDTs as medical devices, which was formally published in the Federal Register on October 3, 2023. The proposed rule sought to make explicit that in vitro diagnostic products (IVDs) are devices under the Federal Food, Drug and Cosmetic Act, including when the manufacturer of the IVD is a clinical laboratory. In conjunction with this proposed rule and issuance of new regulations, the FDA proposed a policy by which the FDA would phase out its general enforcement discretion approach for LDTs over a period of four years after the publication of a final rule so that LDTs manufactured by a clinical laboratory would, over the transition period, fall under the existing enforcement approach for IVDs. The proposed rule would not grandfather existing tests or exempt academic medical centers or small laboratories, but the FDA requested public comments on whether it should include those features in a final rule. ACLA disputes FDA’s assertion that LDTs are medical devices and filed comments in December 2023 opposing the proposed rule and urging its withdrawal for the reasons set forth in ACLA’s comments. Both ACLA and the Company have urged FDA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to continue working with Congress and stakeholders toward enactment of appropriate legislation instead of pursuing device regulation of LDTs through rulemaking.</w:t>
      </w:r>
    </w:p>
    <w:p>
      <w:pPr>
        <w:spacing w:after="0" w:line="69"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On May 6, 2024, the FDA published a final rule adopting its proposal to regulate LDTs as medical devices over a four-year phase-in period, but with certain changes related to ongoing enforcement discretion for certain categories of LDTs. The final rule became effective on July 5, 2024, and in the absence of a successful legal challenge, the first phase of compliance obligations will begin on May 6, 2025. Most notably, under the final rule, the FDA intends to exercise enforcement discretion and generally not enforce premarket review and most quality system requirements (except for records requirements) for tests currently marketed as LDTs that were first marketed prior to the issuance of the final rule, as long as they are not significantly modified; intends to exercise enforcement discretion and generally not enforce premarket review and most quality system requirements (except for records requirements) for LDTs offered by a laboratory integrated within a healthcare system to meet an unmet need of patients receiving care within the same healthcare system; intends to exercise enforcement discretion and generally not enforce premarket review requirements for tests that are approved by the New York State Clinical Laboratory Evaluation Program (NYS CLEP); and intends to exercise enforcement discretion and generally not enforce premarket review requirements for certain modifications made to 510(k)-cleared and de novo classified tests by CLIA-certified, high-complexity laboratories, even if that 510(k) clearance or classification is held by a different manufacturer. However, the FDA noted that it could change these enforcement discretion policies at any time in the future. The Company expects to be in material compliance with the final rule at applicable compliance dates if the final rule remains in force.</w:t>
      </w:r>
    </w:p>
    <w:p>
      <w:pPr>
        <w:spacing w:after="0" w:line="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May 29, 2024, ACLA and its member company, HealthTrackRx, filed a civil action in the U.,S. District Court for the Eastern District of Texas against the Secretary of the HHS seeking to overturn the final rule on grounds that HHS (and by delegation, FDA) lacks jurisdiction to regulate LDTs as medical devices and that even if such jurisdiction exists, the rule is unlawfully arbitrary and capricious. A similar civil action filed by the Association for Molecular Pathology has been consolidated with the ACLA action.</w:t>
      </w:r>
    </w:p>
    <w:p>
      <w:pPr>
        <w:spacing w:after="0" w:line="10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November 21, 2024, ACLA submitted a formal request to the transition team for then President-elect Donald Trump to announce a policy of non-enforcement of the final rule together with a notice of intent to rescind the rule through notice and comment rulemaking. Discussions with Congress and other stakeholders on potential legislative alternatives to the final rule are ongoing.</w:t>
      </w:r>
    </w:p>
    <w:p>
      <w:pPr>
        <w:spacing w:after="0" w:line="8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There are similar national and regional regulatory agencies and regulations in the jurisdictions outside of the U.S. in which the Company operates. For example, the European Union (EU) Medical Device Regulation (EU MDR) which became applicable on May 26, 2021, and the In Vitro Diagnostics Regulation (IVDR), which became applicable on May 26, 2022, established a new legislative framework for medical devices and in vitro diagnostic devices (IVDs), including a rule-based classification and quality and safety standards. In contrast to the former Regulation, the IVDR also applies to IVDs used in diagnostic and therapeutic services provided outside the EU to patients based in the EU. After the new EU MDR and IVDR had come into force, it soon emerged that the transitional periods originally specified therein were not sufficiently long and were extended for the MDR up to December 31, 2028, and up to December 31, 2029, depending on the risk class of the device.</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BLS’s laboratory facilities and Dx’s clinical laboratory facilities that perform testing services in support of preclinical studies and clinical trials must conform to a range of standards and regulations, including good laboratory practice (GLP) and good clinical practice (GCP), current good manufacturing practice (cGMP), human subject protection and investigational product exemption regulations, and quality system regulation (QSR) requirements, as applicable. The preclinical and clinical testing intended to support applications for research or marketing, and the studies that the Company conducts, are subject to periodic inspections by the FDA, as well as other pharmaceutical and medical device regulators in the jurisdictions outside the U.S. in which the Company operates, which may include, without limitation, the Medicines and Healthcare products Regulatory Agency (MHRA) in the United Kingdom (UK), the European Union, the European Medicines Agency, the National Medical Products Administration in China, and the Pharmaceuticals and Medical Devices Agency in Japan, to determine compliance with GLP, GCP, and cGMP, as well as other applicable standards and regulations. If a regulatory agency determines during an inspection that the Company’s equipment, facilities, laboratories, operations, or processes do not comply with applicable regulations and GLP, GCP and/or cGMP standards, the regulatory agency may issue a formal notice (e.g., Form FDA 483), which may be followed by a warning letter or other enforcement actions if observations are not addressed satisfactorily. Noncompliance may result in, among other things, unanticipated compliance expenditures, the regulatory agency seeking civil, criminal or administrative sanctions, and/or other remedies against the Company, including suspension of its operations, and related customer contractual claims and other liabilities.</w:t>
      </w:r>
    </w:p>
    <w:p>
      <w:pPr>
        <w:spacing w:after="0" w:line="11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FDA Modernization Act 2.0 was enacted in December 2022 as Section 3209 of the Consolidated Appropriations Act, 2023. This Act amended Section 505 of the Federal Food, Drug and Cosmetic Act to clarify the methods manufacturers and sponsors can use to investigate the safety and efficacy of a drug or the toxicity of a biosimilar biologic product to include tests on animals, as well as certain tests that are not performed on animals. Specifically, the Act replaces a statutory reference to “tests on animals” as a viable option for preclinical testing with a reference to “nonclinical tests”, which includes animal testing,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cell-based assays, microphysiological systems, or bioprinted or computer models. The Act does not eliminate animal testing or require the use of non-animal models. FDA previously had the authority to allow non-animal data to be considered during safety and efficacy reviews of new drugs and had previously issued related guidance. However, many procedures intended to reduce animal tests are still in various stages of development. Such alternative methodologies must first be validated before FDA will approve of their use instead of validated animal models, so the practical impact of the Act is likely to be limited for some time.</w:t>
      </w:r>
    </w:p>
    <w:p>
      <w:pPr>
        <w:spacing w:after="0" w:line="9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Additionally, certain BLS services and activities, such as chemistry, manufacturing, and controls (CMC) services, must conform to cGMP. BLS is subject to periodic inspections by the FDA and the MHRA, as well as other regulatory agencies in the jurisdictions outside the U.S. in which the Company operates, in order to assess, among other things, cGMP compliance. If a regulatory agency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among other things, fines, warnings or untitled letters, unanticipated compliance expenditures, suspension of manufacturing, enforcement actions, product seizures or recalls, injunctions, or criminal prosecution.</w:t>
      </w:r>
    </w:p>
    <w:p>
      <w:pPr>
        <w:spacing w:after="0" w:line="9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Some Dx offerings are regulated as medical devices by the FDA and other similar national regulatory agencies in jurisdictions outside the U.S. in which the Company operates.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FDA regulatory requirements include: all of the relevant elements of the QSR, which requires manufacturers to follow stringent design, testing, control, documentation, and other quality assurance procedures; labeling regulations; restrictions on promotion and advertising; Medical Device Reporting regulations, which require the manufacturer to report to the FDA if its device may have caused or contributed to a death or serious injury or malfunctioned in a way that would likely cause or contribute to a death or serious injury if it were to recur; the Reports of Corrections and Removals regulations, which require manufacturers to report certain recalls and field actions to the FDA;, and other post-market requirements.</w:t>
      </w:r>
    </w:p>
    <w:p>
      <w:pPr>
        <w:spacing w:after="0" w:line="110"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On January 31, 2024, the FDA issued a final rule amending the device current good manufacturing practice (CGMP) requirements of the QSR to incorporate by reference the quality management system requirements of the international standard specific for medical device quality management systems set by the International Organization for Standardization (ISO), ISO 13485:2016. The revised regulation is now referred to as the Quality Management System Regulation (QMSR).The FDA has determined that the requirements in ISO 13485 are substantially similar to the requirements of the former QSR regulation, but the final rule establishes additional requirements that clarify certain expectations and certain concepts used in ISO 13485 to avoid inconsistencies with other applicable FDA requirements. The FDA will begin to enforce the QMSR requirements on the effective date, February 2, 2026.</w:t>
      </w:r>
    </w:p>
    <w:p>
      <w:pPr>
        <w:spacing w:after="0" w:line="7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To ensure compliance with regulatory requirements, medical device manufacturers are subject to market surveillance and periodic, pre-scheduled and unannounced inspections by the FDA. Failure to comply with applicable regulatory requirements can result in enforcement action by the FDA, which may include sanctions, operating restrictions, partial suspension, or total shutdown of production, refusal to grant clearance or approvals of new devices, withdrawal of clearance or approval, and civil or criminal prosecution.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Animal Welfare Laws and Regulations</w:t>
      </w:r>
    </w:p>
    <w:p>
      <w:pPr>
        <w:spacing w:after="0" w:line="14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conduct of animal research at BLS’s facilities in the U.S. must be in compliance with the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BLS complies with licensing and registration requirement standards set by the USDA and similar agencies in foreign jurisdictions such as the European Union, the UK, and China for the care and use of regulated species. If the USDA determines that BLS’s equipment, facilities, laboratories, or processes do not comply with applicable AWA standards, it may issue an inspection report documenting the deficiencies and setting deadlines for any required corrective actions. The USDA may impose fines, suspend and/or revoke licenses and registrations, or confiscate research animals. Other countries where the Company conducts business have similar laws and regulations with which the Company must also comply. In addition, certain of BLS’s animal-related activities may be subject to regulation by the U.S. Centers for Disease Control and Prevention, the Office of Laboratory Animal Welfare of the National Institutes of Health, the U.S. Fish and Wildlife Service, and similar organizations in other jurisdictions in which the Company operates.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for Clinical Laboratory Services</w:t>
      </w:r>
    </w:p>
    <w:p>
      <w:pPr>
        <w:spacing w:after="0" w:line="14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2024, Dx derived approximately 10.5% of its revenue directly from traditional Medicare and Medicaid programs. In addition, Dx’s other commercial laboratory testing business that is not directly related to Medicare or Medicaid nevertheless depends significantly on continued participation in these programs and in other government healthcare programs, in part because customers often want a single laboratory to perform all of their testing services. In recent years, both governmental and private-sector payers have made efforts to contain or reduce healthcare costs, including for clinical laboratory services.</w:t>
      </w:r>
    </w:p>
    <w:p>
      <w:pPr>
        <w:spacing w:after="0" w:line="8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Reimbursement under the PFS is capped at different rates in each Medicare Administrative Contractor’s jurisdiction. Pursuant to PAMA, unless modified by Congress, reimbursement under the CLFS is set at a national rate that is updated every three years for most tests.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 Approximately 8.8% of Dx’s revenue is reimbursed directly by Medicare under the CLFS.</w:t>
      </w:r>
    </w:p>
    <w:p>
      <w:pPr>
        <w:spacing w:after="0" w:line="9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Many pathology services performed by Dx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previously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The Medicare Access and CHIP Reauthorization Act of 2015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no updates for 2020 through 2025, and updates that vary based on participation in alternative payment models in subsequent years. These changes to the conversion factor may be offset by reductions to the relative value units, as was the case with the 2016 PFS reductions. For 2022, Congress increased the conversion factor by 3.0% over the amount announced in the final rule, instead of allowing a 3.75% reduction to take effect. In the Consolidated Appropriations Act of 2023, Congress mitigated PFS cuts in 2023 and 2024 by 2.5% and 1.25%, respectively, that would otherwise have been reduced by 4.47% in 2023 based on the conversion factor put forward in the 2023 Medicare PFS Final Rule. Approximately 0.4% of Dx’s revenue is reimbursed under the PFS.</w:t>
      </w:r>
    </w:p>
    <w:p>
      <w:pPr>
        <w:spacing w:after="0" w:line="11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to changes in reimbursement rates, Dx is also impacted by changes in coverage policies for laboratory tests and annual CPT coding revisions. Medicare, Medicaid and private payer diagnosis code requirements and payment policies negatively impact Dx’s ability to be paid for some of the tests it performs. Further, some payers require additional information to process claims, employ third-party utilization management tools, or have implemented prior authorization policies which delay or prohibit payment.</w:t>
      </w:r>
    </w:p>
    <w:p>
      <w:pPr>
        <w:spacing w:after="0" w:line="8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Future changes in national, state, and local laws and regulations (or in the interpretation of current regulations) affecting government payment for clinical laboratory testing could have a material adverse effect on the Company.</w:t>
      </w:r>
    </w:p>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Further healthcare reform could occur in 2025, including changes to the ACA and Medicare reform, as well as administrative requirements that may continue to affect coverage, reimbursement, and utilization of laboratory services in ways that are currently unpredictable.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Security and Confidentiality of Health Information and Other Personal Information</w:t>
      </w:r>
    </w:p>
    <w:p>
      <w:pPr>
        <w:spacing w:after="0" w:line="13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and healthcare providers that conduct standard transactions electronically and healthcare clearinghouses (covered entities). Six such regulations include: (i) the Transactions and Code Sets Rule; (ii) the Privacy Rule; (iii) the Security Rule; (iv) the Standard Unique Employer Identifier Rule; (v) the National Provider Identifier Rule; and (vi) the Health Plan Identifier Rule. The Company, which may act as a HIPAA covered entity in certain circumstances, believes that it is in compliance in all material respects with each of the HIPAA Rules identified above.</w:t>
      </w:r>
    </w:p>
    <w:p>
      <w:pPr>
        <w:spacing w:after="0" w:line="9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U.S. Health Information Technology for Economic and Clinical Health Act (HITECH) strengthened and expanded the HIPAA Privacy and Security Rules and their restrictions on use and disclosure of protected health information (PHI). HITECH includes, but is not limited to, prohibitions on exchanging PHI for remuneration and additional restrictions on the use of PHI for marketing. HITECH also imposes a number of Privacy Rule requirements and a majority of Security Rule provisions directly on business associates that were previously only directly applicable to covered entities. Moreover, HITECH requires covered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entities to provide notice to individuals, HHS, and, as applicable, the media when unsecured PHI is breached, as that term is defined by HITECH. Business associates are similarly required to notify covered entities of a breach.</w:t>
      </w:r>
    </w:p>
    <w:p>
      <w:pPr>
        <w:spacing w:after="0" w:line="6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Privacy Rule regulates the use and disclosure of PHI by covered entities. It also sets forth certain rights that individuals have with respect to their PHI maintained by a covered entity, such as the right to access or amend certain records containing PHI or to request restrictions on the use or disclosure of PHI. The HIPAA Privacy Rule requires covered entities to contractually bind third parties, known as business associates, in the event that they perform an activity or service for or on behalf of the covered entity that involves the creation, receipt, maintenance, or transmission of PHI.</w:t>
      </w:r>
    </w:p>
    <w:p>
      <w:pPr>
        <w:spacing w:after="0" w:line="87"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w:t>
      </w:r>
    </w:p>
    <w:p>
      <w:pPr>
        <w:spacing w:after="0" w:line="9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April 22, 2024, HHS issued a final rulemaking containing modifications to the HIPAA Privacy Rule to address the use or disclosure of PHI in relation to the provision of reproductive health care. The Company will implement appropriate processes to manage compliance with these changes as applicable. On December 27, 2024, HHS published a notice of proposed rulemaking (NPRM) containing potential modifications to the HIPAA Security Rule addressing prescriptive requirements for administrative, physical, and technical safeguards in response to increased cybersecurity incidents in the health care industry. The public comment period for the NPRM is expected to close on March 7, 2025. The Company is monitoring the NPRM process. If modifications to the HIPAA Security Rule are adopted, they may impact the Company’s compliance obligations under HIPAA.</w:t>
      </w:r>
    </w:p>
    <w:p>
      <w:pPr>
        <w:spacing w:after="0" w:line="9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an NPI to identify themselves in standard HIPAA transactions. NPI replaces the unique provider identification number and other provider numbers previously assigned by payers and other entities for the purpose of identifying healthcare providers in standard electronic transactions.</w:t>
      </w:r>
    </w:p>
    <w:p>
      <w:pPr>
        <w:spacing w:after="0" w:line="9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Violations of the HIPAA provisions could result in civil and/or criminal penalties, including significant fines and up to 10 years in prison. HITECH also requires HHS to conduct periodic audits to confirm compliance and authorizes state attorneys general to bring civil actions seeking either injunctions or damages in response to violations of the HIPAA privacy and security regulations that affect the privacy of state residents.</w:t>
      </w:r>
    </w:p>
    <w:p>
      <w:pPr>
        <w:spacing w:after="0" w:line="9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total cost associated with complying with the ongoing requirements of HIPAA and HITECH is not expected to be material to the Company’s operations or cash flows. However, future regulations and interpretations of HIPAA and HITECH could impose significant costs on the Company.</w:t>
      </w:r>
    </w:p>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The information blocking provisions (Information Blocking Rules) of the 21st Century Cures Act became effective on April 5, 2021. The Information Blocking Rules prohibit covered actors, including healthcare providers, from engaging in activity that is likely to interfere with the access, exchanges, or use of electronic health information unless such activity falls into one of eight exceptions. The Information Blocking Rules provide for civil monetary penalties for noncompliance by healthcare information technology vendors and, separately, “appropriate disincentives” for noncompliance by healthcare providers.</w:t>
      </w:r>
    </w:p>
    <w:p>
      <w:pPr>
        <w:spacing w:after="0" w:line="7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addition to the regulations described above, numerous other data protection, privacy and similar laws govern the confidentiality, security, use, and disclosure of personal information, as well as breach notification responsibilities. These laws vary by jurisdiction, but they most commonly regulate or restrict the collection, use, and disclosure of medical and financial information and other personal information. In the U.S., the Federal Trade Commission has authority to regulate unfair or deceptive acts or practices, including with respect to data privacy and security. If the Company’s public statements about collection, use, or disclosure of personal information are perceived to be inconsistent with the Company’s actual practices, the Company may face accusations of unfairness or deception under the Federal Trade Commission Act of 1914 or state law equivalents. In addition, some state laws are more restrictive and, therefore, are not preempted by HIPAA. Penalties for violation of these laws may include sanctions against a laboratory’s licensure, as well as civil and/or criminal penalties.</w:t>
      </w:r>
    </w:p>
    <w:p>
      <w:pPr>
        <w:spacing w:after="0" w:line="110"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Effective August 14, 2020, the Substance Abuse and Mental Health Services Administration of HHS (SAMHSA) announced the finalization of proposed changes to the Confidentiality of Substance Use Disorder Patient Records regulation. This regulation protects the confidentiality of patient records relating to the identity, diagnosis, prognosis, or treatment that are maintained in connection with the performance of any federally assisted program or activity relating to substance use disorder education, prevention, training, treatment, rehabilitation, or research. Under the regulation, patient identifying information may only be released with the individual’s written consent, subject to certain limited exceptions. The latest changes to this regulation seek to better facilitate care coordination, while maintaining more stringent confidentiality of substance use disorder information. The Company adopted changes to its policies and procedures necessary for compliance.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Congress and state legislatures also have been adopting legislation relating to privacy and data protection. For example, on June 28, 2018, the California legislature passed the California Consumer Privacy Act (CCPA), which became effective January 1, 2020. The CCPA created transparency requirements and granted California residents several new rights with regard to their personal information.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to the CCPA introduced by the CPRA went into effect on January 1, 2023. Implementing regulations have been introduced by the CPPA and additional regulations are anticipated.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have passed legislation similar to the CCPA that generally mirror the principles and requirements of the CCPA; however, some of these laws do not provide for a private right of action. Additionally, Connecticut, Washington and Nevada have passed legislation specific to consumer health data. The Company has developed appropriate processes to manage compliance with these laws as applicable.</w:t>
      </w:r>
    </w:p>
    <w:p>
      <w:pPr>
        <w:spacing w:after="0" w:line="97"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7"/>
          <w:szCs w:val="17"/>
          <w:color w:val="auto"/>
        </w:rPr>
        <w:t>The EU General Data Protection Regulation (GDPR) establishes requirements applicable to the use and transfer of personal data and imposes penalties for noncompliance of up to the greater of €20 million or 4% of worldwide revenue. The GDPR, as well as the UK’s implementation -- the UK General Data Protection Regulation -- requires transparency with regard to the means and purposes of processing of personal data, collection of consent to process personal data in certain circumstances, the ability to provide records of processing upon request by a supervisory authority or data controller, implementation of appropriate technical and organizational measures to maintain security of personal data, notification of personal data breaches to supervisory authorities, data controllers, and individuals within expedient time frames, and performance of data protection impact assessments for certain processing activities. The GDPR also provides individual data subjects with certain rights, where applicable, including the right of access, the right to rectification, the right to be forgotten, the right to restrict or object to processing, and the right to data portability. The GDPR requires that personal data may only be transferred outside of the EU to a country that offers an adequate level of data protection under standards set by the EU, or where such transfer is otherwise pursuant to a legal framework approved by the EU. On July 16, 2020, the Court of Justice of the EU released its decision in Data Protection Commission v. Facebook Ireland Limited, (Schrems II), which invalidated the EU-U.S. Privacy Shield as a legal framework for the transfer of personal data outside of the EU, and suggesting additional safeguards for the use of Standard Contractual Clauses (SCCs) as a legal framework for the transfer of personal data outside of the EU. On June 4, 2021, the European Commission release updated SCCs, which, in part, adopted many of the additional safeguards highlighted in the Schrems II decision. Companies using SCCs for the transfer of personal data outside of the EU are required to use the new SCCs or an alternate approved form of data transfers. The Company has established processes and frameworks to manage compliance with the GDPR and other global privacy and data protection requirements, and to manage preparation for future enacted regulations. Compliance could impose significant costs on the Company.</w:t>
      </w:r>
    </w:p>
    <w:p>
      <w:pPr>
        <w:spacing w:after="0" w:line="8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to the GDPR, numerous other countries have laws governing the collection, use, disclosure, and transmission (including cross-border transfer) of personal information, including medical information. The legislative and regulatory landscape for privacy and data protection is complex and continually evolving. Data protection regulations have been enacted or updated in regions where the Company does business including in Asia and Europe, and in countries such as Canada, India, and the UK. Failure to comply with these regulations may result in, among other things, civil, criminal and contractual liability, fines, regulatory sanctions, and damage to the Company’s reputation.</w:t>
      </w:r>
    </w:p>
    <w:p>
      <w:pPr>
        <w:spacing w:after="0" w:line="10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Potential government regulation related to AI use and ethics may also increase compliance costs and impact operations as the Company continues to develop, test, adopt, and maintain AI within the Company’s operations and in its offerings. The rapid evolution of AI, and potential government regulation, will require the application of resources to allow the Company to implement AI appropriately in order to minimize unintended, harmful impact, including from the exposure of Company or third-party information or the Company relying on flawed AI outputs. The Company has implemented an AI Code of Ethics and established an AI Ethics Board to review and help maintain compliance with AI ethical principles and regulatory requirements in the development and use of AI systems, including generative AI tools.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 and Regulations</w:t>
      </w:r>
    </w:p>
    <w:p>
      <w:pPr>
        <w:spacing w:after="0" w:line="13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(DOJ), OIG, and various state agencies. Historically, the clinical laboratory industry has been the focus of major governmental enforcement initiatives. The U.S. government’s enforcement efforts have been conducted under statutory authorities such as those contained in HIPAA, which includes several provisions related to fraud and abuse enforcement, including the establishment of a program to coordinate and fund U.S., state and local law enforcement efforts, and in the Deficit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Reduction Act of 2005, which included requirements directed at Medicaid fraud, including increased spending on enforcement and financial incentives for states to adopt false claims act provisions similar to the U.S. False Claims Act. Amendments to the False Claims Act, and other enhancements to the U.S. fraud and abuse laws enacted as part of the ACA, have further increased fraud and abuse enforcement efforts and compliance risks. For example, the ACA established an obligation to report and refund overpayments from Medicare or Medicaid within 60 days of identification (whether or not paid through any fault of the recipient); failure to comply with this requirement can give rise to additional liability under the False Claims Act and Civil Monetary Penalties statute.</w:t>
      </w:r>
    </w:p>
    <w:p>
      <w:pPr>
        <w:spacing w:after="0" w:line="9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U.S. Anti-Kickback Statute prohibits knowingly providing anything of value in return for, or to induce the referral of, Medicare, Medicaid, or other U.S. federal healthcare program business. Violations can result in imprisonment, fines, penalties, and/or exclusion from participation in U.S. federal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case-by-case basis. Many states have their own Medicaid anti-kickback laws, and several states also have anti-kickback laws that apply to all payers (i.e., not just government healthcare programs).</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From time to time, the OIG issues alerts and other guidance on certain practices in the healthcare industry that implicate the Anti-Kickback Statute or other fraud and abuse laws. OIG Special Fraud Alerts and Advisory Opinions relevant to the Company set forth a number of practices allegedly engaged in by some clinical laboratories, healthcare providers, and biopharmaceutical manufacturers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or providing discounted laboratory services billed to referral sources in return for referrals of other tests that are billed to U.S. federal healthcare programs;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(vi) providing free testing for healthcare providers, their families and their employees (i.e., so-called “professional courtesy” testing); (vii) rental of space in physician offices by equipment suppliers or other healthcare entities to which the physicians make referrals; (viii) compensation paid by laboratories to physicians and hospitals for blood specimen processing and for submitting patient data to registries; (ix) remuneration provided to physicians and other health care professionals by pharmaceutical and medical device companies in connection with company-sponsored speaker programs; (x) arrangements between telemedicine companies and healthcare professionals that result in the fraudulent ordering or prescribing of medically unnecessary services, including prescription drugs, durable medical equipment, and clinical laboratory testing; and (xi) the provision of free genetic and other testing sponsored by biopharmaceutical manufacturers for use in making diagnostic or other clinical decisions related to use of the manufacturers’ products.</w:t>
      </w:r>
    </w:p>
    <w:p>
      <w:pPr>
        <w:spacing w:after="0" w:line="113"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addition to the Anti-Kickback Statute, in October 2018, the U.S. enacted the Eliminating Kickbacks in Recovery Act of 2018 (EKRA), as part of the Substance Use-Disorder Prevention that Promotes Opioid Recovery and Treatment for Patients and Communities Act. EKRA is an all-payer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As drafted, an EKRA prohibition on incentive compensation to sales employees is inconsistent with the federal anti-kickback statute and regulations, which permit payment of employee incentive compensation, a practice that is common in the industry. Significantly, EKRA permits the U.S. Department of Justice to issue regulations clarifying EKRA’s exceptions or adding additional exceptions, but such regulations have not yet been issued, and there is no additional DOJ or other government guidance to indicate how and to what extent it will be applied and enforced in the industry. The Company continues to work through its trade association to address the scope of EKRA.</w:t>
      </w:r>
    </w:p>
    <w:p>
      <w:pPr>
        <w:spacing w:after="0" w:line="9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Under another U.S. statute, known as the Stark Law or “physician self-referral” prohibition, physicians who have a financial or a compensation relationship with a clinical laboratory may not, unless an exception applies, refer Medicare or Medicaid patients for testing to the laboratory, regardless of the intent of the parties. Similarly, laboratories may not bill Medicare or Medicaid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clinical laboratory services; (iii)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6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December 2020, the OIG and CMS published final rules to amend certain regulations implementing the Anti-Kickback Statute and the Stark Law, respectively. The amendments were primarily intended to alleviate perceived impediments to coordinated care and value-based compensation arrangements through new safe harbors to the Anti-Kickback Statute and new exceptions to the Stark Law and have varying degrees of applicability to laboratories. The CMS final rule incorporates laboratories and permits support for value-based arrangements, under certain conditions for purposes of the Stark Law. However, the OIG final rule generally excludes laboratories from protection under the Anti-Kickback Statute safe harbors for value-based arrangements.</w:t>
      </w:r>
    </w:p>
    <w:p>
      <w:pPr>
        <w:spacing w:after="0" w:line="9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There are a variety of other types of U.S. and state fraud and abuse laws, including laws prohibiting submission of false or fraudulent claims and that require certain companies to disclose payments and other transfers of value to certain healthcare professionals and providers.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110"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Enrollment and re-enrollment in U.S. healthcare programs, including Medicare and Medicaid, are subject to certain program integrity requirements intended to protect the programs from fraud, waste, and abuse. In September 2019, CMS published a final rule implementing program integrity enhancements to provider enrollment requiring Medicare, Medicaid, and Children’s Health Insurance Program (CHIP) providers and suppliers to disclose on an enrollment application or a revalidation application any current or previous direct or indirect affiliation with a provider or supplier that (i) has uncollected debt; (ii) has been or is subject to a payment suspension under a federal health care program; (iii) has been or is excluded by the OIG from Medicare, Medicaid, or CHIP, or (iv) has had its Medicare, Medicaid, or CHIP billing privileges denied or revoked. This rule permits CMS to deny enrollment based on such an affiliation when CMS determines that the affiliation poses an undue risk of fraud, waste, or abuse. CMS is phasing in this new affiliation disclosure requirement.</w:t>
      </w:r>
    </w:p>
    <w:p>
      <w:pPr>
        <w:spacing w:after="0" w:line="9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November 2021, CMS published the 2022 Medicare PFS Final Rule, which included further program integrity requirements. CMS finalized its proposal to expand the categories of parties within the purview of the denial and revocation provisions to include excluded administrative or management services personnel who furnish services payable by a federal healthcare program, such as a billing specialist, accountant, or human resources specialist. CMS also codified the billing privilege deactivation rebuttal process, under which a provider or supplier would have 15 calendar days from receipt of written notice of a deactivation to submit a rebuttal, and CMS could, in its discretion, extend the 15-day period to account for certain special situations. In addition, CMS defined factors it would use to determine whether revocation or suspension of billing privileges is appropriate due to a pattern or practice of non-compliant billing, which would be: (i) the percentage of submitted claims that were denied during the period under consideration; (ii) whether the provider or supplier has any history of final adverse actions and the nature of any such actions; (iii) the type of billing non-compliance and the specific facts surrounding said non-compliance (to the extent this can be determined); and (iv) any other information regarding the provider’s or supplier’s specific circumstances that CMS deems relevant to the determination. This is a reduction in the number of factors that were previously considered and a revision of some previous factors.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 Health, Safety, and Sustainability</w:t>
      </w:r>
    </w:p>
    <w:p>
      <w:pPr>
        <w:spacing w:after="0" w:line="14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subject to licensing and requirements under laws and regulations relating to the protection of the environment and employee health and safety. These laws and regulations, designed to minimize risk to employee health and safety and to the environment, include the safe handling, use, transportation, and disposal of potentially infectious and hazardous materials; the assessment of potential work-related risks and establishment of work practice and engineering controls, and providing protective clothing and equipment, training, and medical surveillance.</w:t>
      </w:r>
    </w:p>
    <w:p>
      <w:pPr>
        <w:spacing w:after="0" w:line="8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committed to reducing its carbon footprint. The Company participates in the CDP and the EcoVadis sustainable procurement rating processes. In 2023, the Company’s greenhouse gas emission (GHG) reduction science-based targets were accepted by the Science Based Targets initiative, and the Company has committed to reducing Scope 1 and 2 GHG emissions 42% and Scope 3 GHG emissions by 25% by year end 2030, versus a 2020 baseline.</w:t>
      </w:r>
    </w:p>
    <w:p>
      <w:pPr>
        <w:spacing w:after="0" w:line="8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Energy-saving measures at Company facilities include for example, installation of energy efficient boilers, chillers, ventilation systems, and light-emitting diode lighting, and engaging in waste-to-energy disposition. The Company is committed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to reducing the fuel use of its courier fleet, and in 2024 the Company added nearly 469 hybrid vehicles to its fleet, to help achieve its goals of reducing fuel use. Funding for these and similar projects continued through 2024 and is expected to continue through 2027.</w:t>
      </w:r>
    </w:p>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seeks to comply with all relevant environment, employee-health, and safety laws and regulations. Failure to comply could subject the Company to various administrative and/or other enforcement actions.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Testing</w:t>
      </w:r>
    </w:p>
    <w:p>
      <w:pPr>
        <w:spacing w:after="0" w:line="14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St. Paul, Minnesota; and Portland, Oregon, are all SAMHSA certified. Each laboratory also maintains state licensure and laboratory certifications required to provide testing for private sector employers.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Substances</w:t>
      </w:r>
    </w:p>
    <w:p>
      <w:pPr>
        <w:spacing w:after="0" w:line="13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BLS handles controlled substances as part of the services it provides in preclinical testing. The use of controlled substances is regulated by the U.S. Drug Enforcement Administration under the Controlled Substances Act (CSA) and its implementing regulations. The CSA establishes, among other things, certain registration, security, recordkeeping, reporting, import, export, and other requirements for controlled substances. The Company seeks to conduct its business in compliance with these requirements as applicable. Violations of these rules may result in criminal and civil fines and penalties.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Program</w:t>
      </w:r>
    </w:p>
    <w:p>
      <w:pPr>
        <w:spacing w:after="0" w:line="11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maintains a global compliance program that includes ongoing evaluation and monitoring of its compliance with the laws and regulations of the U.S. and the other countries in which it has operations. The objective of the Company’s compliance program is to develop, implement, monitor, and update compliance safeguards, as appropriate. Although the Company is subject to a broad range of regulations, its compliance program has a particular focus on regulations related to healthcare fraud and abuse, anti-kickback, physician self-referral, government reimbursement programs, anti-bribery/anti-corruption, anti-human trafficking, and trade sanctions, among others. Emphasis is placed on developing and implementing compliance policies and guidelines, personnel training programs, risk assessment, monitoring and auditing activities, and providing systems for reporting and investigation of potential or actual compliance concerns. The compliance program demonstrates the Company’s commitment to conducting business at the highest standards of ethical conduct and integrity.</w:t>
      </w:r>
    </w:p>
    <w:p>
      <w:pPr>
        <w:spacing w:after="0" w:line="110"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seeks to conduct its business in compliance with all statutes, regulations, and other requirements applicable to its clinical laboratory operations and biopharma laboratory services business. The clinical laboratory industry and biopharma laboratory services industries are, however, subject to extensive regulation, and many of these statutes and regulations have not been interpreted by the courts. In addition, the applicability or interpretation of statutes and regulations may not be clear in light of emerging changes in clinical testing science, healthcare technology, and healthcare organizations. Applicable statutes and regulations may be interpreted or applied by a prosecutorial, regulatory, or judicial authority in a manner that would materially adversely affect the Company. Potential sanctions for violation of these statutes and regulations include significant civil and criminal penalties, fines, exclusion from participation in governmental healthcare programs, and the loss of various licenses, certificates, and authorizations necessary to operate, as well as potential liabilities from third-party claims, all of which could have a material adverse effect on the Company’s business.</w:t>
      </w:r>
    </w:p>
    <w:p>
      <w:pPr>
        <w:spacing w:after="0" w:line="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3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Investors should carefully consider all of the information set forth in this Annual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Operations Including Global Economic and Geopolitical Factors</w:t>
      </w:r>
    </w:p>
    <w:p>
      <w:pPr>
        <w:spacing w:after="0" w:line="12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General or macro-economic factors and significant fluctuations in economic conditions in the U.S. and globally may have a material adverse effect upon the Company.</w:t>
      </w:r>
    </w:p>
    <w:p>
      <w:pPr>
        <w:spacing w:after="0" w:line="5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Company’s operations are dependent upon ongoing demand for diagnostic testing and biopharma laboratory services by patients, physicians, hospitals, MCOs, pharmaceutical, biotechnology and medical device companies and others. Significant changes in global economic conditions, and an increase in the costs of goods and services, could negatively impact testing volumes, the demand for biopharma laboratory services, cash collections, profitability, and the availability and cost of credit.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Pressures on and uncertainty surrounding the U.S. federal government’s budget, and potential changes in budgetary priorities, could adversely affect the funding for government programs that comprise a portion of the Company’s revenues. In addition, uncertainty in the credit markets and interest rate volatility could reduce the availability and increase the cost of credit and impact the Company’s ability to meet its financing needs in the future.</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Operations may be disrupted and adversely impacted by events beyond the Company’s control, including natural disasters, adverse weather, geopolitical events, public health crises, acts of terrorism, disruption to supply chain, and inaccessibility of natural resources.</w:t>
      </w:r>
    </w:p>
    <w:p>
      <w:pPr>
        <w:spacing w:after="0" w:line="5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Natural disasters, such as adverse weather, fires, earthquakes, power shortages and outages, geopolitical events, such as terrorism, war, political instability, or other conflict, public health crises and disease epidemics and pandemics, criminal activities, disruptions to supply chains, inaccessibility of natural resources, and other disruptions or events beyond the Company’s control could negatively affect the Company’s operations. Any of these events may result in a temporary decline of testing volumes and other work in both segments. In addition, such events may temporarily interrupt the Company’s ability to transport specimens, efficiently commence, continue, or complete its work on studies, utilize information technology systems, utilize certain laboratories, and/or to receive material from its suppliers. Such events can also affect customer operations and thereby impact testing volume. Long-term disruptions in the infrastructure and operations caused by such events (particularly involving locations in which the Company has operations), could harm the Company’s operating results.</w:t>
      </w:r>
    </w:p>
    <w:p>
      <w:pPr>
        <w:spacing w:after="0" w:line="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retain, and develop experienced and qualified personnel, including key management personnel, and increased personnel costs, could adversely affect the Company’s business.</w:t>
      </w:r>
    </w:p>
    <w:p>
      <w:pPr>
        <w:spacing w:after="0" w:line="8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loss of key management personnel or the inability to attract, retain, and develop experienced and qualified employees, at the Company’s clinical laboratories, drug development, and diagnostic facilities, and increased costs related to such personnel and employees, could adversely affect the business. The success of the Company is dependent in part on the efforts of key members of its management team. Success in maintaining the Company’s leadership position in genomic and other advanced testing and diagnostic technologies will depend in part on the Company’s ability to attract and retain skilled research professionals. In addition, the success of the Company’s early discovery, clinical, and commercial laboratories also depend on employing and retaining qualified and experienced professionals, including specialists, who perform laboratory research activities and testing services. The same is true for patient-facing staff with specialized training required to perform activities related to specimen collection or clinical research activities. In the future, if competition for the services of these professionals increases, the Company may not be able to continue to attract and retain individuals in its markets. Changes in key management, or the ability to attract, develop, and retain qualified personnel, as a result of increased competition for talent, wage growth, or other market factors, could lead to strategic and operational challenges and uncertainties, distractions of management from other key initiatives, and inefficiencies and increased costs, any of which could adversely affect the Company’s business, financial condition, results of operations, and cash flows.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Continued changes in healthcare reimbursement models and products (e.g., health insurance exchanges), changes in government payment and reimbursement systems, or changes in payer mix, including an increase in third-party benefits management and value-based payment models, could have a material adverse effect on the Company’s revenues, profitability and cash flow.</w:t>
      </w:r>
    </w:p>
    <w:p>
      <w:pPr>
        <w:spacing w:after="0" w:line="8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Dx testing services are billed to MCOs, Medicare, Medicaid, physicians and physician groups, hospitals, patients, and employer groups. Most testing services are billed to a party other than the physician or other authorized person who ordered the test. Increases in the percentage of services billed to government and MCOs could have an adverse effect on the Company’s revenues.</w:t>
      </w:r>
    </w:p>
    <w:p>
      <w:pPr>
        <w:spacing w:after="0" w:line="9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expects the efforts to impose reduced reimbursement, more stringent payment policies, and utilization and cost controls by government and other payers to continue. If Dx cannot offset additional reductions in the payments it receives for its services by reducing costs, increasing test volume, and/or introducing new services and procedures, it could have a material adverse effect on the Company’s revenues, profitability, and cash flows. In 2014, Congress passed PAMA, requiring Medicare to change the way payment rates are calculated for tests paid under the CLFS, and to base the payment on the weighted median of rates paid by private payers. Pursuant to PAMA, reimbursement rates for many clinical laboratory tests provided under Medicare were reduced from 2018 through 2020. Enforcement of PAMA was suspended each year from 2021 through 2025, but a long-term resolution through legislation has not yet been achieved, and the next round of PAMA reductions are currently on track to be implemented in 2026. Unless implementation of PAMA is further delayed or changed, additional reductions in reimbursements of $100.0 million are expected for 2026 from all payers affected by the CLFS.</w:t>
      </w:r>
    </w:p>
    <w:p>
      <w:pPr>
        <w:spacing w:after="0" w:line="9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Company’s ability to attract and retain MCOs is critical given the impact of healthcare reform, changes in coverage and evolving value-based care and risk-based reimbursement delivery models (e.g., accountable care organizations (ACOs) and Independent Physician Associations (IPAs)).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 portion of the managed care fee-for-service revenues is collectible from patients in the form of deductibles, coinsurance and copayments. As patient cost-sharing continues to increase, the Company’s collections may be adversely impacted.</w:t>
      </w:r>
    </w:p>
    <w:p>
      <w:pPr>
        <w:spacing w:after="0" w:line="6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w:t>
      </w:r>
    </w:p>
    <w:p>
      <w:pPr>
        <w:spacing w:after="0" w:line="8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has periodically experienced delays in the pricing and implementation of coding and billing changes among various payers, including Medicaid, Medicare and commercial carriers. Payer policy changes in coverage, along with coding and billing changes, have had a negative impact over time on revenue, revenue per requisition, and margins and cash flows. In 2024, limited coding and billing changes were implemented. While limited changes are expected to be implemented in 2025, the Company typically expects some delays in pricing and reimbursement as new codes are introduced.</w:t>
      </w:r>
    </w:p>
    <w:p>
      <w:pPr>
        <w:spacing w:after="0" w:line="10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expects the efforts to impose reduced reimbursement, more stringent payment policies, and utilization and cost controls by government and other payers to continue. If Dx cannot offset additional reductions in the payments it receives for its services by reducing costs, increasing test volume, and/or introducing new services and procedures, it could have a material adverse effect on the Company’s revenues, profitability and cash flows.</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regulation or in practices relating to the pharmaceutical, biotechnology, or medical device industries could decrease the need for certain services that BLS provides.</w:t>
      </w:r>
    </w:p>
    <w:p>
      <w:pPr>
        <w:spacing w:after="0" w:line="6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BLS assists pharmaceutical, biotechnology, and medical device companies in navigating the regulatory approval process. Changes in government regulations, such as a relaxation in regulatory requirements or the introduction of simplified approval procedures or an increase in regulatory requirements that BLS may have difficulty satisfying or that may make its services less competitive, could eliminate or substantially reduce the demand for its services. Also, if government efforts to contain drug and medical product and device costs impact profits from such items, or if health insurers were to change their practices with respect to reimbursement for those items, some of BLS’s customers may spend less, or reduce their growth in spending on R&amp;D.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including price competition, could have an adverse effect on the Company’s revenues and profitability.</w:t>
      </w:r>
    </w:p>
    <w:p>
      <w:pPr>
        <w:spacing w:after="0" w:line="131"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As further described in Item 1 and Item 1A of Part I of this Annual Report, both Dx and BLS operate in competitive industries. The commercial laboratory business is intensely competitive in terms of price, service, specialty offerings, and the type and number of commercial laboratories. Dx and BLS compete against a wide range of businesses, as well as in-house departments of pharmaceutical, biotechnology, medical device, and diagnostic companies, and to a lesser extent, selected academic research centers, universities, and teaching hospitals. In addition, BLS’s services periodically experience periods of increased price competition that may have an adverse effect on the segment’s profitability and consolidated revenues and net earnings.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95"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To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effect on the Company’s revenues and profitability. The Company competes primarily on the basis of reputation, efficient and timely performance, and leadership in science, technology and innovation. The Company’s failure to successfully compete in any of these areas could result in the loss of existing customers, an inability to gain new customers, and reduced or stagnant growth of the Company’s business.</w:t>
      </w:r>
    </w:p>
    <w:p>
      <w:pPr>
        <w:spacing w:after="0" w:line="8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Discontinuation or recalls of products used in the performance of testing, failure to develop or acquire licenses for new or improved testing technologies, or the Company’s customers using new technologies to replace offerings currently provided by the Company could adversely affect its business.</w:t>
      </w:r>
    </w:p>
    <w:p>
      <w:pPr>
        <w:spacing w:after="0" w:line="4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commercial laboratory industry is subject to changing technology and the introduction of new and improved test offerings. The Company’s success in maintaining a leadership position in genomic and other advanced testing technologies will depend, in part, on its ability to develop, acquire or license new and improved technologies on favorable terms and to obtain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R&amp;D costs may increase as a result. In addition, if the Company is unable to license new or improved technologies to expand its esoteric testing operations, its testing methods may become outdated and testing volume and revenue may be materially and adversely affected.</w:t>
      </w:r>
    </w:p>
    <w:p>
      <w:pPr>
        <w:spacing w:after="0" w:line="8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advances in technology may lead to the development of more technologies, such as point-of-care testing equipment, that can be operated by healthcare providers in their offices or by patients themselves without requiring the services of commercial laboratories. Development of such technology and its use by the Company’s customers could reduce the demand for its laboratory testing services and the utilization of certain tests offered by the Company and negatively impact its revenues. Similarly, application of artificial intelligence to testing could reduce demand for the Company’s services, or competitors could adopt use of these technologies and derive benefits from them sooner than the Company.</w:t>
      </w:r>
    </w:p>
    <w:p>
      <w:pPr>
        <w:spacing w:after="0" w:line="9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Manufacturers of laboratory equipment and test kits could seek to increase their sales by marketing point-of-care laboratory equipment to physicians and by selling test kits approved by regulatory agencies for home or physician office use to both physicians and patients. Increased approval and use of such test kits could lead to increased testing by physicians in their offices or by patients at home, which could affect the Company’s market for laboratory testing services and negatively impact its revenues.</w:t>
      </w:r>
    </w:p>
    <w:p>
      <w:pPr>
        <w:spacing w:after="0" w:line="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or disruption in services, supplies, or transportation provided by third parties have impacted and could continue to impact or adversely affect the Company’s business.</w:t>
      </w:r>
    </w:p>
    <w:p>
      <w:pPr>
        <w:spacing w:after="0" w:line="6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depends on third parties to provide supplies and services critical to the Company’s business. Although the Company has a significant proprietary network of ground and air transport capabilities, certain of the Company’s businesses are heavily reliant on third-party ground and air travel for transport of clinical trial and diagnostic testing supplies and specimens, research products, and people. A significant disruption to these travel systems, or the Company’s access to them, could have a material adverse effect on the Company’s business. The Company is also reliant on an extensive network of third-party suppliers and vendors of certain services and products, including for certain animal populations. Disruptions to the continued supply, or increases in costs, of these services, products, or animal populations may arise from export/import restrictions or embargoes, political or economic instability, pressure from animal rights activists, adverse weather, natural disasters, public health crises, transportation disruptions, cybersecurity incidents, or other causes, as well as from termination of relationships with suppliers or vendors for their failure to follow the Company’s performance standards and requirements. Disruption of supply and services has impacted and could continue to impact or have a material adverse effect on the Company’s business.</w:t>
      </w:r>
    </w:p>
    <w:p>
      <w:pPr>
        <w:spacing w:after="0" w:line="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failure to identify suitable acquisition targets and successfully close and integrate acquisitions could have a material adverse effect on the Company’s business objectives and its revenues and profitability.</w:t>
      </w:r>
    </w:p>
    <w:p>
      <w:pPr>
        <w:spacing w:after="0" w:line="8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January 1, 2020, the Company has invested net cash of approximately $3.4 billion in strategic business acquisitions.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92" w:lineRule="exact"/>
        <w:rPr>
          <w:sz w:val="20"/>
          <w:szCs w:val="20"/>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clearance, including due to antitrust concerns;</w:t>
      </w:r>
    </w:p>
    <w:p>
      <w:pPr>
        <w:spacing w:after="0" w:line="25"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 or employees as a result of the acquisition;</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consolidating redundant facilities and infrastructure and in standardizing information and other systems;</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regulatory problems at the acquired company or business;</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quality of services that such companies or businesses have historically provided;</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other liabilities;</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related to litigation related to the acquired company or business, or from its prior owners;</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identify and remediate noncompliant activities of the acquired company or business;</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periodic impairment of goodwill and intangible assets acquired;</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geographically separated facilities and workforces; and</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the Company’s ongoing business and diversion of management’s resources.</w:t>
      </w:r>
    </w:p>
    <w:p>
      <w:pPr>
        <w:spacing w:after="0" w:line="2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revenues and profitability. Even if the Company is able to successfully integrate the operations of companies and businesses that it acquires in the future, the Company may not be able to realize the benefits that it expects from such acquisitions.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Unfavorable labor environments, union strikes, work stoppages, union or works council negotiations, or failure to comply with labor or employment laws could adversely affect the Company’s operations and have a material adverse effect upon the Company’s business.</w:t>
      </w:r>
    </w:p>
    <w:p>
      <w:pPr>
        <w:spacing w:after="0" w:line="66"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The Company is a party to a limited number of collective bargaining agreements with various labor unions and is subject to employment and labor laws and unionization activity in the U.S. Similar employment and labor obligations exist across other countries in which it conducts business, including appropriate engagement with works councils in Europe.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effect upon the Company’s business. Also, the Company may incur substantial additional costs and become subject to litigation and enforcement actions if the Company fails to comply with legal requirements affecting its workforce and labor practices, including laws and regulations related to wage and hour practices, Office of Federal Contract Compliance Programs compliance, and unlawful workplace harassment and discrimination.</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Continued and increased consolidation of pharmaceutical, biotechnology and medical device companies, health systems, physicians and other customers could adversely affect the Company’s business.</w:t>
      </w:r>
    </w:p>
    <w:p>
      <w:pPr>
        <w:spacing w:after="0" w:line="5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Many healthcare companies and providers, including pharmaceutical, biotechnology and medical device companies, health systems, and physician practices are consolidating through mergers, acquisitions, joint ventures, and other types of transactions and collaborations. In addition to these more traditional horizontal mergers that involve entities that previously competed against each other, the healthcare industry is experiencing an increase in vertical mergers, which involve entities that previously did not offer competing goods or services. As the healthcare industry consolidates, competition to provide goods and services may become more intense, and vertical mergers may give those combined companies greater control over more aspects of healthcare, including increased bargaining power. This competition and increased customer bargaining power may adversely affect the price and volume of the Company’s services.</w:t>
      </w:r>
    </w:p>
    <w:p>
      <w:pPr>
        <w:spacing w:after="0" w:line="10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as the broader healthcare industry trend of consolidation continues, including the acquisition of physician practices by health systems, relationships with hospital-based health systems and integrated delivery networks are becoming increasingly important. Dx has a well-established base of relationships with those systems and networks, including collaborative agreements. Dx’s inability to retain its existing relationships with those physicians as they become part of healthcare systems and networks and/or to create new relationships could impact its ability to successfully grow its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or disruption to the Company’s facilities or operations therein could adversely affect the Company’s business.</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Many of the Company’s facilities or the operations conducted therein could be difficult to replace in a short period of time. Any event that causes a disruption of the operation of these facilities might impact the Company’s ability to provide services to customers and, therefore, could have a material adverse effect on the Company’s financial condition, results of operations, and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establish, update, or perform to appropriate quality standards could adversely affect the Company’s business and reputation.</w:t>
      </w:r>
    </w:p>
    <w:p>
      <w:pPr>
        <w:spacing w:after="0" w:line="11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quality control systems and processes to support the performance and delivery of its services. A failure to establish, update, or perform in accordance with those systems or processes could adversely affect the Company’s business operations, resulting in the loss of customers, loss or suspension of licensure or certifications, imposition of sanctions or other penalties, damage to the Company’s reputation, or other adverse effects.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Company bears financial risk for contracts that, including for reasons beyond the Company’s control, may be underpriced, subject to cost overruns, delayed, or terminated or reduced in scope.</w:t>
      </w:r>
    </w:p>
    <w:p>
      <w:pPr>
        <w:spacing w:after="0" w:line="6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an adverse effect on the Company’s business, results of operations, financial condition, and cash flows.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Many of BLS’s contracts may be terminated or reduced in scope either immediately or upon notice. Cancellations may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 for a variety of reasons, including:</w:t>
      </w:r>
    </w:p>
    <w:p>
      <w:pPr>
        <w:spacing w:after="0" w:line="127" w:lineRule="exact"/>
        <w:rPr>
          <w:sz w:val="20"/>
          <w:szCs w:val="20"/>
          <w:color w:val="auto"/>
        </w:rPr>
      </w:pPr>
    </w:p>
    <w:p>
      <w:pPr>
        <w:ind w:left="240" w:hanging="233"/>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products to satisfy safety requirements;</w:t>
      </w:r>
    </w:p>
    <w:p>
      <w:pPr>
        <w:spacing w:after="0" w:line="25"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results of the products;</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clinical trial subject enrollment;</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investigator recruitment;</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customer’s decision to terminate the development of a product or to end a particular study; and</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BLS’s failure to perform its duties properly under the contract.</w:t>
      </w:r>
    </w:p>
    <w:p>
      <w:pPr>
        <w:spacing w:after="0" w:line="9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Although BLS’s contracts typically entitle the Company to receive all fees earned up to the time of termination, and often also the costs of winding down the terminated projects, the loss, reduction in scope or delay of large or multiple contracts could materially adversely affect BLS.</w:t>
      </w:r>
    </w:p>
    <w:p>
      <w:pPr>
        <w:spacing w:after="0" w:line="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significant increase in the Company’s days sales outstanding could have an adverse effect on the Company’s business, including its cash flow, by increasing its bad debt or decreasing its cash flow.</w:t>
      </w:r>
    </w:p>
    <w:p>
      <w:pPr>
        <w:spacing w:after="0" w:line="8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Billing for laboratory services is a complex process. Laboratories bill many different payers, including doctors, patients, health plans, Medicare, Medicaid, and employer groups, all of which have different billing requirements. A material increase in Dx’s days sales outstanding level, which could be caused by multiple reasons due to the complexity of billing for laboratory services, could have an adverse effect on the Company’s business, including potentially increasing its bad debt rate and decreasing its cash flows. Although BLS does not face the same level of complexity in its billing processes, it could also experience delays in billing or collection, and a material increase in BLS’s days sales outstanding could have an adverse effect on the Company’s business, including potentially decreasing its cash flows.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BLS’s revenues depend on the pharmaceutical, biotechnology and medical device industries.</w:t>
      </w:r>
    </w:p>
    <w:p>
      <w:pPr>
        <w:spacing w:after="0" w:line="13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BLS’s revenues depend greatly on the expenditures made by the pharmaceutical, biotechnology and medical device industries in R&amp;D. In some instances, these companies are reliant on their ability to raise capital in order to fund their R&amp;D projects. These companies may be reliant on reimbursement for their products from government programs and commercial payers. Accordingly, economic factors and industry trends affecting BLS’s customers in these industries may also affect BLS. If these companies were to reduce the number of R&amp;D projects they conduct or outsource, whether through the inability to raise capital, reductions in reimbursement from governmental programs or commercial payers, industry trends, economic conditions or otherwise, BLS could be materially adversely affected.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fluctuations could have an adverse effect on the Company’s business.</w:t>
      </w:r>
    </w:p>
    <w:p>
      <w:pPr>
        <w:spacing w:after="0" w:line="13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has business and operations outside the U.S., and BLS derives a significant portion of its revenues from international operations. Since the Company’s Consolidated Financial Statements are denominated in U.S. dollars, fluctuations in exchange rates from period to period will have an impact on reported results. In addition, BLS may incur costs in one currency related to its services or products for which it is paid in a different currency. As a result, factors associated with international operations, including changes in foreign currency exchange rates, could significantly affect BLS’s results of operations, financial condition and cash flows.</w:t>
      </w:r>
    </w:p>
    <w:p>
      <w:pPr>
        <w:spacing w:after="0" w:line="1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Company’s uses of financial instruments to limit its exposure to interest rate and currency exchange fluctuations could expose it to risks and financial losses that may adversely affect the Company’s financial condition, liquidity and results of operations.</w:t>
      </w:r>
    </w:p>
    <w:p>
      <w:pPr>
        <w:spacing w:after="0" w:line="6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To limit the Company’s exposure to interest rate fluctuations and currency exchange fluctuations, it has entered into, and in the future may enter into for these or other purposes, financial swaps, or hedging arrangements, with various financial counterparties. In addition to any risks related to the counterparties, there can be no assurances that the Company’s hedging activity will be effective in insulating it from the risks associated with the underlying transactions, that the Company would not have been better off without entering into these hedges, or that the Company will not have to pay additional amounts upon settlement.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level of indebtedness and debt service requirements could adversely affect the Company’s liquidity, results of operations and business.</w:t>
      </w:r>
    </w:p>
    <w:p>
      <w:pPr>
        <w:spacing w:after="0" w:line="14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At December 31, 2024, indebtedness on the Company’s outstanding senior notes totaled approximately $6.2 billion in aggregate principal, of which $1.0 billion is payable within the next 12 months. The Company is also a party to credit agreements relating to a $1.0 billion revolving credit facility. Under the revolving credit facility, the Company is subject to negative covenants limiting subsidiary indebtedness and certain other covenants typical for investment-grade-rated borrowers, and the Company is required to maintain a leverage ratio within certain limits.</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level of indebtedness and debt service requirements could adversely affect its business. In particular, it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could increase the Company’s vulnerability to sustained, adverse macroeconomic weakness, limit its ability to obtain further financing or refinance existing debt at maturity, and limit its ability to pursue certain operational and strategic opportunities, including large acquisitions. Additionally, the Company’s cost of funds could increase due to the impact of increases in prevailing interest rates on its variable rate debt and should the Company refinance existing debt at maturity or obtain further financing.</w:t>
      </w:r>
    </w:p>
    <w:p>
      <w:pPr>
        <w:spacing w:after="0" w:line="8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quarterly operating results may vary.</w:t>
      </w:r>
    </w:p>
    <w:p>
      <w:pPr>
        <w:spacing w:after="0" w:line="14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Company’s operating results may vary significantly from quarter to quarter and are influenced by factors over which the Company has little control, such as:</w:t>
      </w:r>
    </w:p>
    <w:p>
      <w:pPr>
        <w:spacing w:after="0" w:line="69" w:lineRule="exact"/>
        <w:rPr>
          <w:sz w:val="20"/>
          <w:szCs w:val="20"/>
          <w:color w:val="auto"/>
        </w:rPr>
      </w:pPr>
    </w:p>
    <w:p>
      <w:pPr>
        <w:ind w:left="240" w:hanging="233"/>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economy;</w:t>
      </w:r>
    </w:p>
    <w:p>
      <w:pPr>
        <w:spacing w:after="0" w:line="25"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completion, delay or cancellation of large projects or contracts or groups of projects;</w:t>
      </w:r>
    </w:p>
    <w:p>
      <w:pPr>
        <w:spacing w:after="0" w:line="6" w:lineRule="exact"/>
        <w:rPr>
          <w:rFonts w:ascii="Times New Roman" w:cs="Times New Roman" w:eastAsia="Times New Roman" w:hAnsi="Times New Roman"/>
          <w:sz w:val="18"/>
          <w:szCs w:val="18"/>
          <w:color w:val="auto"/>
        </w:rPr>
      </w:pPr>
    </w:p>
    <w:p>
      <w:pPr>
        <w:ind w:left="240" w:hanging="233"/>
        <w:spacing w:after="0" w:line="233"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ongoing projects;</w:t>
      </w:r>
    </w:p>
    <w:p>
      <w:pPr>
        <w:ind w:left="240" w:right="160" w:hanging="233"/>
        <w:spacing w:after="0" w:line="239" w:lineRule="auto"/>
        <w:tabs>
          <w:tab w:leader="none" w:pos="2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natural disasters, geopolitical events, public health crises, hostilities or acts of terrorism, acts of vandalism, disruption to supply chains, inaccessibility of natural resources, and other events beyond the Company’s control;</w:t>
      </w:r>
    </w:p>
    <w:p>
      <w:pPr>
        <w:ind w:left="240" w:hanging="233"/>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associated with completed acquisitions or other events; and</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utilization mix of the Company’s services.</w:t>
      </w:r>
    </w:p>
    <w:p>
      <w:pPr>
        <w:spacing w:after="0" w:line="1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Company depends on a variety of U.S. and international financial institutions to provide us with banking services. The default or failure of one or more of the financial institutions that the Company relies on may adversely affect the Company’s business and financial condition.</w:t>
      </w:r>
    </w:p>
    <w:p>
      <w:pPr>
        <w:spacing w:after="0" w:line="8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international financial institutions, and its deposits at certain of these institutions exceed insured limits. Market conditions can impact the viability of these institutions. In the event of failure of any of the financial institutions where the Company maintains its cash and cash equivalents, there can be no assurance that the Company would be able to access uninsured funds in a timely manner or at all. Additionally, bank payment processes could become unavailable which could temporarily impact the Company’s ability to conduct business with suppliers and pay its employees on a timely basis. Any inability to access or delay in accessing these funds could adversely affect the Company’s business and financial condition.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might not be able to engage in certain desirable capital-raising or strategic transactions.</w:t>
      </w:r>
    </w:p>
    <w:p>
      <w:pPr>
        <w:spacing w:after="0" w:line="13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Company’s ability to engage in certain transactions could be limited or restricted in order to preserve, for U.S. federal income tax purposes, the tax-free qualification of the Fortrea spin-off and certain related transactions under Sections 355 and 368(a)(1)(D) of the Internal Revenue Code. Even if the Spin-off and certain related transactions otherwise qualify for tax-free treatment under Section 355 of the Code, they may result in corporate-level taxable gain to the Company if there is a 50% or greater change in ownership, by vote or value, of shares of the Company’s stock, Fortrea’s stock, or the stock of a successor of either occurring as part of a plan or series of related transactions that includes the Spin-off, which is generally presumed to include any acquisitions or issuances of stock within two years of the Spin-off. To avoid realizing such taxable gain, the Company may be restricted or limited in its capital-raising or in the strategic transactions that it elects to pursue during such time period.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spin-off of Fortrea may not achieve the intended results.</w:t>
      </w:r>
    </w:p>
    <w:p>
      <w:pPr>
        <w:spacing w:after="0" w:line="11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June 30, 2023, the Company completed the previously announced spin-off of Fortrea. The Spin-off poses risks and challenges that could impact the Company’s business, including, but not limited to, the failure to receive tax-free treatment for U.S. federal income purposes, and potential exposure to unexpected claims, liabilities, or costs under the Company’s agreements with Fortrea in connection with the Spin-off.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Technology and Cybersecurity</w:t>
      </w:r>
    </w:p>
    <w:p>
      <w:pPr>
        <w:spacing w:after="0" w:line="1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security of customer-related information or compliance with security requirements could damage the Company’s reputation with customers, cause it to incur substantial additional costs and become subject to litigation and enforcement actions.</w:t>
      </w:r>
    </w:p>
    <w:p>
      <w:pPr>
        <w:spacing w:after="0" w:line="80"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The Company receives, stores, transmits, and processes certain personal and financial information about its customers. In addition, the Company depends upon the secure transmission of confidential information over public networks, including information permitting cashless payments. The Company also works with third-party service providers and vendors that provide technology systems and services that are used in connection with the receipt, storage, transmission, and processing of customer personal and financial information. A compromise of the Company’s systems, or those of the Company's third-party service providers and vendors, that results in customer personal information being obtained or altered by unauthorized persons, or the Company’s third party's failure to comply with security requirements, including but not limited to security standards for payment cards (e.g., the Payment Card Industry Data Security Standard), could adversely affect the Company’s reputation with its customers and others, as well as the Company’s results of operations, financial condition and liquidity. It could also result in litigation against the Company and the imposition of fines and penalties. For example, in connection with the AMCA Incident (as defined below under “Cybersecurity” in Item 1C) the Company has incurred, and expects to continue to incur, costs, and the Company is involved in pending and threatened litigation, as well as various government and regulatory inquiries and processes. For additional information about the AMCA Incident, see Note 15 Commitments and Contingencies to the Consolidated Financial Statements of Part III of the Annual Report.</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in the Company’s information technology systems or delays or failures in the development and implementation of new systems or updates or enhancements to existing systems could disrupt the Company’s operations or customer relationships.</w:t>
      </w:r>
    </w:p>
    <w:p>
      <w:pPr>
        <w:spacing w:after="0" w:line="6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The Company’s operations and customer relationships depend, in part, on the continued performance of its information technology systems. An information technology or process failure could impede the processing of data, delivery of data and services, customer orders, and day-to-day management of the business, and could result in the corruption or loss of data. Despite security measures and other precautions the Company has taken, including the development of contingency and disaster recovery plans, its information technology systems are potentially vulnerable to physical break-ins, fire, natural disaster, power loss, telecommunications failures, cybersecurity incidents and similar disruptions, and there may not be adequate protections, mitigation, backups, and/or redundant facilities available in the event these threats are realized. In addition, the Company may experience system failures, or interruptions, including cybersecurity incidents, as it integrates the information technology systems of newly acquired businesses. Failures or interruption of the Company’s systems in one or more of its operations could result in interruptions of service, disrupt the Company’s ability to process laboratory requisitions, perform testing, provide test results or drug development data in a timely manner, and/or conduct timely billing operations. Such system failures could require the Company to transfer operations to an alternative provider of services, which could result in delays in the delivery of offerings to customers and other operations. Additionally, significant delays in the planned delivery of system enhancements or improvements, or inadequate performance of the systems once they are complete, could damage the Company's reputation and harm the business. Furthermore, failure of the Company’s information technology systems could adversely affect the Company’s business, profitability, financial condition, and reputation.</w:t>
      </w:r>
    </w:p>
    <w:p>
      <w:pPr>
        <w:spacing w:after="0" w:line="11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and unauthorized access to the Company's or its customers’ data could harm the Company’s reputation and adversely affect its business.</w:t>
      </w:r>
    </w:p>
    <w:p>
      <w:pPr>
        <w:spacing w:after="0" w:line="66"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The Company has previously experienced and expects to continue to experience attempts by unauthorized parties to compromise the Company’s cybersecurity controls, like the 2018 ransomware attack. The Company has also experienced and expects to continue to experience similar attempts by threat actors to penetrate the systems of third-party suppliers and vendors to whom the Company has provided data, like the 2019 AMCA data breach. These attempts, if successful, could result in the misappropriation or compromise of personal information or proprietary or confidential information stored within the Company's systems or within the systems of third parties, create system disruptions or cause shutdowns. Threat actors have a variety of attack methods, including without limitation, by developing and deploying viruses, worms, and other malicious software programs that attack the Company’s systems, the systems of third-parties, or otherwise exploit any security vulnerabilities. In addition, the increased use of AI by threat actors is enhancing the scale sophistication and effectiveness of their cyberattacks. Outside parties may also attempt to fraudulently induce employees to take actions, including the release of confidential or sensitive information or to make fraudulent payments through illegal electronic spamming, phishing, spear phishing, and other tactics.</w:t>
      </w:r>
    </w:p>
    <w:p>
      <w:pPr>
        <w:spacing w:after="0" w:line="8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implemented a formal cybersecurity program; however, because the techniques used by threat actors to obtain unauthorized access, disable or degrade service, or sabotage systems continue to evolve (and often are not recognized until launched against a target), the Company may be unable to anticipate and/or implement appropriate controls needed to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protect against these evolving threats. In addition, as cyber threats continue to evolve including the use of AI by threat actors to compromise systems, the Company may be required to expend additional resources to continue to enhance the Company’s cybersecurity measures or to investigate and remediate any cybersecurity vulnerabilities. The Company’s remediation efforts may not be sufficient and could result in interruptions, delays, cessation of service, loss of data integrity, loss of confidentiality, and/or loss of data. This could also impact the cost and availability of cyber insurance to the Company. Cybersecurity incidents affecting the Company’s or third parties' security measures and the unauthorized dissemination of personal, proprietary or confidential information about the Company or its customers or other third parties could expose customers’ private information. Such incidents could expose customers to the risk of financial or medical identity theft or expose the Company or other third parties to a risk of loss or misuse of this information, result in litigation and potential liability for the Company, damage the Company’s brand and reputation, or otherwise harm the Company’s business. Any of these incidents could have a material adverse effect on the Company’s business, regulatory compliance, financial condition, reputation, and/or results of operations.</w:t>
      </w:r>
    </w:p>
    <w:p>
      <w:pPr>
        <w:spacing w:after="0" w:line="8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the Company faces increased cybersecurity risks due to the number of employees that continue to work remotely, which remains at levels higher than prior to the COVID-19 pandemic as a result of changes in the workplace and to management and employee expectations. Increased levels of remote access create additional opportunities for cybercriminals to exploit vulnerabilities, and employees may be more susceptible to phishing and social engineering attempts. In addition, technological resources may become strained due to the number of remote users.</w:t>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use of AI and machine learning tools in our operations and the services of our third-parties may introduce risks that could adversely affect our business, financial condition, and reputation.</w:t>
      </w:r>
    </w:p>
    <w:p>
      <w:pPr>
        <w:spacing w:after="0" w:line="8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 and its third parties leverage AI and machine learning tools to increase productivity and innovation. The Company also faces potential risks from the use of AI and machine learning tools. The Company, or its customers' sensitive, proprietary, or confidential information could be leaked, disclosed, or revealed as a result of or in connection with employees' or vendors' use of generative AI technologies. In addition, the Company may use AI outputs to inform certain decisions, and AI models may create incomplete, inaccurate, or otherwise flawed outputs, some of which may appear correct. Due to the potential flaws in the use of AI, the Company could make incorrect decisions, including decisions that could bias certain individuals or classes of individuals and adversely impact their rights. The rapid development of AI tools could render obsolete certain technologies or tools we currently use, or otherwise provide competitors with a technological edge. New or evolving legislation or regulations might impose restrictions on how AI and machine learning tools can be used, requiring the Company to adapt its tools or face various penalties for non-compliance, including potential disgorgement of data and associated capabilities. As a result, the Company could face adverse consequences, including exposure to reputational and competitive harm, customer loss, and legal liabilities. The AI tools may also be subject to additional, and as yet unidentified, security threats.</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cybersecurity incidents affecting the information technology systems of third parties that provide services to the Company could have a material adverse effect on the Company's operations.</w:t>
      </w:r>
    </w:p>
    <w:p>
      <w:pPr>
        <w:spacing w:after="0" w:line="6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depends on third parties to provide services critical to the Company's business, including supplies, ground and air transport of clinical and diagnostic testing supplies and specimens, research products, and people, among other services and depends on them to comply with applicable laws and regulations. Third parties that provide services to the Company are subject to similar risks related to security of customer-related information and compliance with U.S., state, local, or international environmental, health and safety, and privacy and security laws and regulations as the Company. Any failure by third parties to comply with applicable laws, or any failure of third parties to provide services more generally, could have a material impact on the Company, whether because of the loss of the ability to receive services from the third parties, legal liability of the Company for the actions or inactions of third parties, or otherwise.</w:t>
      </w:r>
    </w:p>
    <w:p>
      <w:pPr>
        <w:spacing w:after="0" w:line="10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third parties to whom the Company outsources certain services or functions may process personal data, or other confidential information of the Company. A cybersecurity incident affecting these third parties, like the AMCA Incident, could also harm the Company's business, results of operations and reputation.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Compliance Matters</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in payer regulations or policies, insurance regulations or approvals, or changes in laws, regulations, or policies in the U.S. or globally, including changes in their interpretation, may adversely affect the Company.</w:t>
      </w:r>
    </w:p>
    <w:p>
      <w:pPr>
        <w:spacing w:after="0" w:line="6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U.S. and state government payers, such as Medicare and Medicaid, as well as insurers, including MCOs, have increased their efforts to control the cost, utilization and delivery of healthcare services. From time to time, Congress has considered and implemented changes in Medicare fee schedules in conjunction with budgetary legislation. The first phase of reductions pursuant to PAMA came into effect on January 1, 2018, and will continue subject to certain delays in implementation and phase-in limits through 2027, and without limitations for subsequent periods. Further reductions due to changes in policy regarding coverage of tests or other requirements for payment, such as prior authorization, diagnosis code and other claims edits, may be implemented from time to time. Medicare reimbursement for pathology services performed by Dx, which are paid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under the PFS,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effect on Dx’s business. Actions by federal and state agencies regulating insurance, including healthcare exchanges, or changes in other laws, regulations, or policies may also have a material adverse effect upon Dx’s business.</w:t>
      </w:r>
    </w:p>
    <w:p>
      <w:pPr>
        <w:spacing w:after="0" w:line="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Company could face significant monetary damages and penalties and/or exclusion from government programs if it violates anti-fraud and abuse laws.</w:t>
      </w:r>
    </w:p>
    <w:p>
      <w:pPr>
        <w:spacing w:after="0" w:line="6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is subject to extensive government regulation at the federal, state, and local levels in the U.S. and other countries where it operates. The Company’s failure to meet governmental requirements under these regulations, including those relating to billing practices and financial relationships with physicians, hospitals, and health systems, biopharmaceutical manufacturers, and others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This risk includes, but is not limited to, the potential that government enforcement authorities may take a contrary position with respect to the Eliminating Kickbacks in Recovery Act, given the lack of associated regulations to clarify or add exceptions. Such occurrences, regardless of their outcome, could damage the Company’s reputation and adversely affect important business relationships.</w:t>
      </w:r>
    </w:p>
    <w:p>
      <w:pPr>
        <w:spacing w:after="0" w:line="1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could be harmed from the loss or suspension of a license or imposition of a fine or penalties under, or future changes in, or interpretations of, the law or regulations of CLIA, Medicare, Medicaid or other national, state, or local agencies in the U.S. and other countries where the Company operates laboratories.</w:t>
      </w:r>
    </w:p>
    <w:p>
      <w:pPr>
        <w:spacing w:after="0" w:line="8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9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the Company or its third-party service providers to comply with privacy and data security laws and regulations could result in fines, penalties and damage to the Company’s reputation with customers and have a material adverse effect upon the Company’s business.</w:t>
      </w:r>
    </w:p>
    <w:p>
      <w:pPr>
        <w:spacing w:after="0" w:line="66"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If the Company and its third-party service providers do not comply with existing or new laws and regulations related to protecting the privacy and security of personal or health information, it could be subject to monetary fines, civil penalties, litigation, or criminal sanctions.</w:t>
      </w:r>
    </w:p>
    <w:p>
      <w:pPr>
        <w:spacing w:after="0" w:line="6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the U.S., the Health Insurance Portability and Accountability Act of 1996, the U.S. Health Information Technology for Economic and Clinical Health (HITECH) Act, and their implementing privacy and security regulations (collectively, HIPAA) establish comprehensive standards with respect to the use and disclosure of protected health information (PHI), by covered entities as well as their “business associates” as defined in HIPAA, in addition to setting standards to protect the confidentiality, integrity and security of PHI.</w:t>
      </w:r>
    </w:p>
    <w:p>
      <w:pPr>
        <w:spacing w:after="0" w:line="10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HIPAA restricts the Company’s ability to use or disclose PHI, without patient authorization, for purposes other than payment, treatment or healthcare operations (as defined by HIPAA), except for disclosures for various public policy purposes and other permitted purposes outlined in the privacy regulations. HIPAA provides for significant fines and other penalties for wrongful use or disclosure of PHI in violation of the privacy and security regulations, including potential civil and criminal fines and penalties. The regulations establish a complex framework on a variety of subjects, including: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67" w:lineRule="exact"/>
        <w:rPr>
          <w:sz w:val="20"/>
          <w:szCs w:val="20"/>
          <w:color w:val="auto"/>
        </w:rPr>
      </w:pPr>
    </w:p>
    <w:p>
      <w:pPr>
        <w:ind w:left="240" w:right="20" w:hanging="233"/>
        <w:spacing w:after="0" w:line="263" w:lineRule="auto"/>
        <w:tabs>
          <w:tab w:leader="none" w:pos="2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240" w:hanging="233"/>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25"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notices of privacy practices for PHI;</w:t>
      </w:r>
    </w:p>
    <w:p>
      <w:pPr>
        <w:spacing w:after="0" w:line="19"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 and</w:t>
      </w:r>
    </w:p>
    <w:p>
      <w:pPr>
        <w:spacing w:after="0" w:line="27"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computing systems maintaining electronic PHI.</w:t>
      </w:r>
    </w:p>
    <w:p>
      <w:pPr>
        <w:spacing w:after="0" w:line="127"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addition to the existing requirements under HIPAA, HHS issued an NPRM regarding revising the HIPAA Security Rule, which, if adopted, would impose increased requirements on regulated entities such as the Company. 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To the extent applicable, newer laws like the California Consumer Privacy Act (CCPA) as amended by the California Privacy Rights Act (CPRA), the Washington My Health My Data Act, and similar consumer privacy laws in other states, may impose additional obligations on the Company. Federal and state laws that protect the privacy and security of patient information may be subject to enforcement and interpretations by various governmental authorities and courts, resulting in complex compliance issues. In addition, laws regulating artificial intelligence and machine learning, including the use of algorithms and automated processing, may impact the Company and lead to increases in the cost of compliance. Noncompliance with these laws could result in the imposition of fines, penalties, or orders to stop certain activities, and potentially expose the Company to actions for the wrongful use or disclosure of health information or other personal information.</w:t>
      </w:r>
    </w:p>
    <w:p>
      <w:pPr>
        <w:spacing w:after="0" w:line="9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may also be required to comply with the data privacy and security laws of other countries in which it operates or with which it transfers and receives data. For example, the EU’s General Data Protection Regulation (GDPR) includes compliance obligations for subject companies and imposes penalties for noncompliance of up to the greater of €20 million or 4% of worldwide revenue for the most serious breaches of data protection obligations, and similar obligations exist under the UK GDPR. The Company has established processes and frameworks to manage compliance with the GDPR. Potential fines and penalties in the event of a violation of the GDPR could have a material adverse effect on the Company’s business and operations. In addition, similar data protection regulations addressing access, use, disclosure and transfer of personal data have been enacted or updated in regions where the Company does business, including in Asia, Latin America, and other parts of Europe.</w:t>
      </w:r>
    </w:p>
    <w:p>
      <w:pPr>
        <w:spacing w:after="0" w:line="10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may be required to make changes to its business practices and to incur additional costs associated with compliance with these evolving and complex regulations.</w:t>
      </w:r>
    </w:p>
    <w:p>
      <w:pPr>
        <w:spacing w:after="0" w:line="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Company’s international operations could subject it to additional risks and expenses that could adversely impact the business or results of operations.</w:t>
      </w:r>
    </w:p>
    <w:p>
      <w:pPr>
        <w:spacing w:after="0" w:line="6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Company’s international operations expose it to risks from potential failure to comply with foreign laws and regulations that differ from those under which the Company operates in the U.S. In addition, the Company may be adversely affected by other risks of operations in foreign countries, including, but not limited to: changes in reimbursement by foreign governments for services provided by the Company;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its offerings.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operations may increase the Company’s exposure to liabilities under applicable anti-corruption laws.</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Anti-corruption laws in the countries where the Company conducts business, including the FCPA, UK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parts of the world where corruption may be common and where anti-corruption laws may conflict to some degree with local customs and practices. The Company maintains an anti-corruption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program including policies, procedures, training and safeguards in the engagement and management of third parties acting on the Company’s behalf. Despite these safeguards, the Company cannot guarantee protection from corrupt acts committed by employees or third parties associated with the Company. Violations or allegations of violations of anti-corruption laws could have a significant adverse effect on the business or results of operations.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regulations of pharmaceutical and medical device regulators, such as the FDA, the Medicines and Healthcare products Regulatory Agency in the United Kingdom, the European Union, the European Medicines Agency, the National Medical Products Administration in China, and the Pharmaceuticals and Medical Devices Agency in Japan, could result in fines, penalties, and sanctions against BLS and have a material adverse effect upon the Company.</w:t>
      </w:r>
    </w:p>
    <w:p>
      <w:pPr>
        <w:spacing w:after="0" w:line="8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operation of BLS’s preclinical laboratory facilities and central laboratory operations must conform to good laboratory practice (GLP) and good clinical practice (GCP), as applicable, as well as all other applicable standards and regulations, as further described in Item 1 of Part I of this Annual Report. The business operations of BLS’s clinical and preclinical laboratories also require the import, export and use of medical devices, in vitro diagnostic devices, reagents, and human and animal biological products. Such activities are subject to numerous applicable local and international regulations with which BLS must comply. If BLS does not comply, BLS could potentially be subject to civil, criminal or administrative sanctions and/or remedies, including suspension of its ability to conduct preclinical and clinical studies, and to import or export to or from certain countries, which could have a material adverse effect upon the Company.</w:t>
      </w:r>
    </w:p>
    <w:p>
      <w:pPr>
        <w:spacing w:after="0" w:line="9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Additionally, certain BLS services and activities must conform to current good manufacturing practice (cGMP), as further described in Item 1 of Part I of this Annual Report. Failure to maintain compliance with GLP, GCP, or cGMP regulations and other applicable requirements of various regulatory agencies could result in warning or untitled letters, fines, unanticipated compliance expenditures, suspension of manufacturing, and civil, criminal or administrative sanctions and/or remedies against BLS, including suspension of its laboratory operations, which could have a material adverse effect upon the Company.</w:t>
      </w:r>
    </w:p>
    <w:p>
      <w:pPr>
        <w:spacing w:after="0" w:line="8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Increased regulations and restrictions on the import of research animals, limitations of supply of research animals, and actions of animal rights activists may have an adverse effect on the Company.</w:t>
      </w:r>
    </w:p>
    <w:p>
      <w:pPr>
        <w:spacing w:after="0" w:line="6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BLS’s preclinical services utilize animals in preclinical testing of the safety and efficacy of drugs and devices. Such activities are required for the development of new medicines and medical devices under regulatory regimes in the U.S., Europe, Japan, and other countries. Increased regulations and restrictions on the import of research animals into various countries, as well as limitations of supply could impact BLS’s ability to conduct preclinical research and could have an adverse effect on BLS’s financial condition, results of operations, and cash flows. In addition, acts of vandalism and other acts by animal rights activists who object to the use of animals in drug development could have an adverse effect on the Company.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Animal populations may suffer diseases that can damage BLS’s inventory, harm its reputation, or result in other liability.</w:t>
      </w:r>
    </w:p>
    <w:p>
      <w:pPr>
        <w:spacing w:after="0" w:line="14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It is important that research products be free of diseases, including infectious diseases. The presence of diseases can distort or compromise the quality of research results, cause loss of animals in BLS’s inventory, result in harm to humans or outside animal populations if the disease is not contained to animals in inventory, or result in other losses. Such results could harm BLS’s reputation or have an adverse effect on BLS’s financial condition, results of operations, and cash flows.</w:t>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to conduct animal research in compliance with animal welfare laws and regulations could result in sanctions and/or remedies against BLS and have a material adverse effect upon the Company.</w:t>
      </w:r>
    </w:p>
    <w:p>
      <w:pPr>
        <w:spacing w:after="0" w:line="66"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The conduct of animal research at BLS’s facilities must be in compliance with applicable laws and regulations in the jurisdictions in which those activities are conducted. These laws and regulations include the U.S.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Similar laws and regulations apply in other jurisdictions in which BLS conducts animal research, including the UK, EU, and China. BLS complies with licensing and registration requirement standards set by these laws and regulations in the jurisdictions in which it conducts animal research. If an enforcement agency determines that BLS’s equipment, facilities, laboratories or processes do not comply with applicable standards, it may issue an inspection report documenting the deficiencies and setting deadlines for any required corrective actions. For noncompliance, the agency may take action against BLS that may include fines, suspension and/or revocation of animal research licenses, or confiscation of research animals.</w:t>
      </w:r>
    </w:p>
    <w:p>
      <w:pPr>
        <w:spacing w:after="0" w:line="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U.S. Food and Drug Administration (FDA) regulation of laboratory-developed tests (LDTs) and regulation by other countries of diagnostic offerings could have a material adverse effect upon the Company’s business.</w:t>
      </w:r>
    </w:p>
    <w:p>
      <w:pPr>
        <w:spacing w:after="0" w:line="6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distribution, and surveillance of diagnostics, and it regularly inspects and reviews the manufacturing processes and performance of diagnostics.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Dx’s point-of-care testing devices are subject to regulation by the FDA.</w:t>
      </w:r>
    </w:p>
    <w:p>
      <w:pPr>
        <w:spacing w:after="0" w:line="12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Historically, LDTs developed by high complexity clinical laboratories have been generally offered as services to health care providers under the CLIA regulatory framework administered by CMS, without the requirement for FDA clearance or approval. On April 29, 2024, the FDA released a final rule purporting to clarify its authority to regulate LDTs as medical devices under the federal Food, Drug, and Cosmetic Act, under which it will phase out its general enforcement discretion approach for LDTs under a four-year period subject to certain continuing enforcement discretion policies. The final rule was published on May 6, 2024, and became effective on July 5, 2024. In the absence of a successful legal challenge, the first phase of compliance obligations will begin on May 6, 2025. On May 29, 2024, the American Clinical Laboratory Association (ACLA) and its member company, HealthTrackRx, filed a lawsuit against the FDA in the United States District Court for the Eastern District of Texas, challenging the FDA’s final rule. While the lawsuit may change the final rule or delay or prevent its enforcement, the issuance of the final rule presents an increased risk of FDA enforcement actions for laboratory tests offered by companies without FDA clearance or approval that do not fall within the ongoing enforcement discretion policies. However, the outcome and its ultimate impact on the Company’s business remain difficult to predict at this time.</w:t>
      </w:r>
    </w:p>
    <w:p>
      <w:pPr>
        <w:spacing w:after="0" w:line="9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Current FDA regulation of the Company’s diagnostic offerings and the potential for future increased regulation of the Company’s LDTs could result in increased costs and administrative and legal actions for noncompliance, including warning letters, fines, penalties, suspensions, recalls, injunctions, and other civil and criminal sanctions, and could impair the development and commercialization of new tests, which could have a material adverse effect upon the Company.</w:t>
      </w:r>
    </w:p>
    <w:p>
      <w:pPr>
        <w:spacing w:after="0" w:line="8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Regulation of diagnostics offerings in jurisdictions outside the U.S. in which the Company operates may impact laboratory testing offered by the Company in both Dx and BLS. For example, the European Union In Vitro Diagnostics Regulation (Regulation (EU) 2017/746 (EU IVDR)) established a new legislative framework for in vitro diagnostic devices that are used in certain circumstances and includes a rule-based classification and quality and safety standards. The EU IVDR, where applicable to BLS’s services, could impact BLS’s ability to support trials, result in increased costs and administrative and legal actions, and have an adverse effect.</w:t>
      </w:r>
    </w:p>
    <w:p>
      <w:pPr>
        <w:spacing w:after="0" w:line="1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U.S., state, local, or international environmental, health and safety laws and regulations, including the U.S. Occupational Safety and Health Administration Act and the U.S. Needlestick Safety and Prevention Act, could result in fines, penalties and loss of licensure, and have a material adverse effect upon the Company.</w:t>
      </w:r>
    </w:p>
    <w:p>
      <w:pPr>
        <w:spacing w:after="0" w:line="8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As previously discussed in Item 1 of Part I of this Annual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Views on matters relating to corporate responsibility and governance and the perception of the Company’s activities in these areas by stakeholders may impact the Company’s business and reputation.</w:t>
      </w:r>
    </w:p>
    <w:p>
      <w:pPr>
        <w:spacing w:after="0" w:line="7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sensitive to matters of corporate responsibility and governance, such as environmental sustainability. This focus on these concerns may lead to new requirements that could result in increased costs associated with developing, manufacturing, and distributing the Company’s offerings. The Company’s ability to compete could also be affected by changing preferences and requirements on these matters and the Company’s ability to meet them. If the Company does not meet the evolving and varied preferences and requirements of governmental authorities and others on these matters, the Company could experience reduced demand for its offerings, loss of customers, and other negative impacts on the Company’s business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Matters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results in material litigation matters could have a material adverse effect upon the Company’s business.</w:t>
      </w:r>
    </w:p>
    <w:p>
      <w:pPr>
        <w:spacing w:after="0" w:line="13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is currently and may continue to be subject in the ordinary course of business to legal actions related to, among other things, intellectual property disputes, contract disputes, data and privacy issues, professional liability and employee-related matters, which may be or may become material. The Company also has received and may in the future receive inquiries and requests for information from governmental agencies and bodies, including Medicare or Medicaid payers, requesting comment and/or information on various matters, including allegations of billing irregularities, billing and pricing arrangements, or privacy practices that are brought to its attention through audits or third parties. Legal actions can result in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 monetary damages as well as damage to the Company’s reputation with customers, which could have a material adverse effect upon its business.</w:t>
      </w:r>
    </w:p>
    <w:p>
      <w:pPr>
        <w:spacing w:after="0" w:line="1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obtain, maintain, and enforce intellectual property rights and defend against challenges to the Company’s intellectual property rights could adversely affect the Company.</w:t>
      </w:r>
    </w:p>
    <w:p>
      <w:pPr>
        <w:spacing w:after="0" w:line="6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Many of the Company’s offerings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The Company has been in the past and may be unable in the future to obtain or maintain the proprietary rights to its intellectual property, to prevent attempted infringement against its intellectual property, or to defend against claims that it is infringing on another party’s intellectual property, and the Company could be adversely affected.</w:t>
      </w:r>
    </w:p>
    <w:p>
      <w:pPr>
        <w:spacing w:after="0" w:line="10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For example, in October 2020, Ravgen Inc. filed a patent infringement lawsuit against the Company alleging infringement of two Ravgen-owned U.S. patents. In September 2022, a jury rendered a verdict in favor of Ravgen on the remaining patent at issue and awarded damages of $272.0 million. In May 2023, the court awarded Ravgen additional enhanced damages in the amount of $100.0 million, and in January 2025, the court awarded Raygen post-verdict supplemental damages of $2.6 million, an ongoing royalty of $100 per test through the life of the patent as issue, pre- and post-judgement interest, and other relief.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that decision was upheld on appeal before the U.S. Court of Appeals for the Federal Circuit in January 2025.</w:t>
      </w:r>
    </w:p>
    <w:p>
      <w:pPr>
        <w:spacing w:after="0" w:line="9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Adverse effects resulting from the failure to successfully obtain, maintain, and enforce intellectual property rights and defend against challenges to the Company’s intellectual property rights could include the Company having to abandon, alter and/or delay the deployment of offerings or processes that rely on such intellectual property; having to procure and pay for licenses from the holders of intellectual property rights that the Company seeks to use, having to pay damages, fines, court costs and attorney’s fees in connection with intellectual property litigation, and reputational damage.</w:t>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the interpretation of such may have a significant impact on the financial position, results of operations, and cash flows of the Company.</w:t>
      </w:r>
    </w:p>
    <w:p>
      <w:pPr>
        <w:spacing w:after="0" w:line="8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services in the drug development industry create liability risks.</w:t>
      </w:r>
    </w:p>
    <w:p>
      <w:pPr>
        <w:spacing w:after="0" w:line="14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contracting to work on drug development trials and studies, BLS faces potential risks inherent to the provision of diagnostic information services for clinical trial participants. Users of BLS for clinical trials may have a greater sensitivity to errors than the users of services or products that are intended for other purposes, such as research only. Other potential liabilities may include:</w:t>
      </w:r>
    </w:p>
    <w:p>
      <w:pPr>
        <w:spacing w:after="0" w:line="83" w:lineRule="exact"/>
        <w:rPr>
          <w:sz w:val="20"/>
          <w:szCs w:val="20"/>
          <w:color w:val="auto"/>
        </w:rPr>
      </w:pPr>
    </w:p>
    <w:p>
      <w:pPr>
        <w:ind w:left="240" w:right="80" w:hanging="233"/>
        <w:spacing w:after="0" w:line="258" w:lineRule="auto"/>
        <w:tabs>
          <w:tab w:leader="none" w:pos="2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omissions that create harm to clinical trial subjects during a trial or to consumers of a drug after the trial is completed and regulatory approval of the drug has been granted;</w:t>
      </w:r>
    </w:p>
    <w:p>
      <w:pPr>
        <w:ind w:left="240" w:right="340" w:hanging="233"/>
        <w:spacing w:after="0" w:line="247" w:lineRule="auto"/>
        <w:tabs>
          <w:tab w:leader="none" w:pos="2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animals in BLS’s facilities may be infected with diseases that may be harmful and even lethal to themselves and humans despite preventive measures contained in BLS’s business policies, including those for the quarantine and handling of imported animals; and</w:t>
      </w:r>
    </w:p>
    <w:p>
      <w:pPr>
        <w:ind w:left="240" w:right="100" w:hanging="233"/>
        <w:spacing w:after="0" w:line="255" w:lineRule="auto"/>
        <w:tabs>
          <w:tab w:leader="none" w:pos="2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and omissions during a trial or study that may undermine the usefulness of a trial or study, or data from the trial or study or that may delay the entry of a drug to the market.</w:t>
      </w:r>
    </w:p>
    <w:p>
      <w:pPr>
        <w:spacing w:after="0" w:line="8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While BLS endeavors to include in its contracts provisions entitling it to be indemnified and entitling it to a limitation of liability, these provisions are not always successfully obtained and, even if obtained, do not uniformly protect BLS against liability arising from certain of its own actions. BLS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BLS is not successful in limiting its liability or in the event that the damages and costs exceed BLS’s insurance coverage. BLS may also be required to agree to contract provisions with clinical site selection or its customers related to the conduct of clinical trials, and BLS could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be materially and adversely affected if it were required to indemnify a site or customer against claims pursuant to such contract terms. There can be no assurance that BLS will be able to maintain sufficient insurance coverage on acceptable terms.</w:t>
      </w:r>
    </w:p>
    <w:p>
      <w:pPr>
        <w:spacing w:after="0" w:line="1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4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Protecting the information maintained by the Company about its patients, customers, colleagues, and partners against external and internal threats is a priority for the Company. Accordingly, the Company invests in the development and implementation of cybersecurity policies, control standards, and control procedures, including a risk management and assessment program, security and event monitoring capabilities, an incident response plan, and other detection, prevention, and protection capabilities, including practices and tools to monitor and mitigate external and insider threats. The Company engages in a risk monitoring process through its Office of Information Security (OIS) within the Information Technology organization that seeks to identify the likelihood and impact of threats to its systems and data, and assesses the effectiveness of the controls in place.</w:t>
      </w:r>
    </w:p>
    <w:p>
      <w:pPr>
        <w:spacing w:after="0" w:line="9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has implemented a formal cybersecurity program aligned to the Secure Controls Framework (SCF), a cybersecurity and privacy framework that consolidates and maps controls across multiple regulations, standards, and best practices. The Company’s program includes the evaluation of the cybersecurity posture of third-party suppliers and vendors that have access to the Company’s data or information technology systems. Consistent with business requirements, components of the Company’s information technology and controls are assessed by independent third parties against various frameworks and standards. With the assistance of these frameworks and standards, the Company assesses risks from cybersecurity threats, monitors its information systems for potential vulnerabilities, assesses those systems pursuant to the Company’s cybersecurity policies, control standards, and control procedures, and implements appropriate mitigation measures. Mitigation of identified threats and vulnerabilities may be delayed.</w:t>
      </w:r>
    </w:p>
    <w:p>
      <w:pPr>
        <w:spacing w:after="0" w:line="9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has implemented an Incident Response Plan (IR Plan), which is aligned to its overall crisis management program. The IR Plan provides a framework for responding to and managing cybersecurity incidents. The IR Plan outlines incident response requirements, reporting processes, protocols for incident evaluation, and procedures for notifying and escalating information to the Company’s senior management, and the Board and/or appropriate Board committees, as applicable. The IR Plan is reviewed, tested, and updated under the leadership of the Company’s Chief Information and Technology Officer (CITO) and Chief Information Risk Officer (CIRO).</w:t>
      </w:r>
    </w:p>
    <w:p>
      <w:pPr>
        <w:spacing w:after="0" w:line="10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Company’s cybersecurity team also provides enterprise-wide cybersecurity training for employees to maintain and continuously improve the Company’s mitigation against human-driven risk. Cybersecurity training is conducted annually, in addition to periodic simulations and exercises to test the efficacy of this training, and expanded training is required for specific roles.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with External Cybersecurity Professionals</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engages with third parties to assess the effectiveness of, and assist with, its cybersecurity risk and response systems and processes. These third parties include cybersecurity assessors, consultants, and professionals who help identify, verify, and validate cybersecurity risks and support mitigation or incident response plans as needed.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Third-Party Service Providers</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Company’s processes also are designed to evaluate the cybersecurity threat risks associated with its use of third-party service providers that have applicable levels of access to the Company’s data or information technology systems. The Company performs due diligence on third parties that have access to its systems, data, or facilities that house such systems or data, and it monitors cybersecurity threat risks identified through such due diligence.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Incident Impact</w:t>
      </w:r>
    </w:p>
    <w:p>
      <w:pPr>
        <w:spacing w:after="0" w:line="14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describes whether and how risks from identified cybersecurity threats, including as a result of any previous cybersecurity incidents, have materially affected or are reasonably likely to materially affect it, including its business and operating results, financial condition, and impact on the Company’s reputation and customer relationships under the “Risks Related to Technology and Cybersecurity” heading and subheadings thereunder in Part I, Item 1A. “Risk Factors” of this Annual Report, which disclosures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July 2018, the Company experienced a ransomware incident which affected certain Dx information technology systems. The incident also temporarily affected certain other information technology systems involved in conducting Company-wide operations. An investigation determined that the ransomware did not and could not transfer patient or client data outside of Company systems and that there was no theft or misuse of patient or client data. This incident did not have a material effect on the Company.</w:t>
      </w:r>
    </w:p>
    <w:p>
      <w:pPr>
        <w:spacing w:after="0" w:line="8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May 14, 2019, Retrieval-Masters Credit Bureau, Inc. d/b/a/ American Medical Collections Agency (AMCA), an external collection agency, notified the Company about a security incident AMCA experienced that may have involved certain personal information about some of the Company's patients (the AMCA Incident). The Company is involved in pending and threatened litigation related to the AMCA Incident, as well as various government and regulatory inquiries and processes. For additional information about the AMCA Incident, see Note 15 Commitments and Contingencies to the Consolidated Financial Statements “Cybersecurity" and “Risk Factors - Risks Related to Technology and Cybersecurity”.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oversight responsibility for the Company’s enterprise risk management process and it delegates oversight responsibility for certain significant functional areas of risk management to the board’s committees. The Audit Committee of the board of directors is responsible for oversight and review of the Company’s cybersecurity and other information technology risks, controls, and procedures, including the potential impact of such risks on the Company’s business, financial results, operations, and reputation, as well as the Company’s plans to mitigate cybersecurity risks and to respond to cybersecurity incidents.</w:t>
      </w:r>
    </w:p>
    <w:p>
      <w:pPr>
        <w:spacing w:after="0" w:line="9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CIRO and CITO routinely present cybersecurity reports to the Audit Committee at its regularly scheduled meetings. These reports may address cyber risks and threats, the status of projects to strengthen the Company’s information security systems, assessments of the Company’s security program, prior incidents, and the emerging cyber threat landscape. In addition, the full Board receives briefings from the CIRO and CITO on at least an annual basis.</w:t>
      </w:r>
    </w:p>
    <w:p>
      <w:pPr>
        <w:spacing w:after="0" w:line="8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is responsible for day-to-day assessment and oversight of cybersecurity risks. At the senior management level, the CITO is responsible for overseeing the Company’s information technology systems, technology capabilities, and cybersecurity practices. The CITO has more than 15 years of experience working in information technology-related roles and is a member of the Company’s executive leadership team and reports to the Chief Executive Officer. Prior to joining the Company, the CITO held various leadership positions with global companies.</w:t>
      </w:r>
    </w:p>
    <w:p>
      <w:pPr>
        <w:spacing w:after="0" w:line="10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CIRO, under the direction of the CITO, is responsible for overseeing the OIS. In this role, the CIRO oversees the cyber risk management function, which identifies cybersecurity threats, assesses cybersecurity risks, and supports the CITO and the Company in managing such risks. The CIRO has over 30 years of experience in information security, and prior to joining the Company held various chief information security officer roles, including seven years at a global healthcare company. The CIRO has also served on the board of directors of Health-ISAC, an organization of critical infrastructure owners and operators within the health and public health sectors. The CITO and CIRO together lead efforts to design, implement and operate controls deemed appropriate for the management of Company information assets and systems. OIS manages the policies, control procedures, and control standards designed to identify, detect, protect against, respond to, and recover from cybersecurity threats and cybersecurity incidents. This group includes a cybersecurity operations team that is responsible for the information technology security monitoring and incident response activities, the latter covering the response coordination to cybersecurity incidents under the leadership and pursuant to the direction of the CIRO. OIS also oversees the Company’s cybersecurity training program for employees.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corporate headquarters are located in Burlington, North Carolina, and include facilities that are both owned and leased.</w:t>
      </w:r>
    </w:p>
    <w:p>
      <w:pPr>
        <w:spacing w:after="0" w:line="140"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Dx operates through a network of patient service centers, branches, rapid response laboratories, primary laboratories, and specialty laboratories. The table below summarizes certain information as to Dx’s principal operating and administrative facilities at December 31, 2024.</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5500" w:type="dxa"/>
            <w:vAlign w:val="bottom"/>
          </w:tcPr>
          <w:p>
            <w:pPr>
              <w:spacing w:after="0"/>
              <w:rPr>
                <w:sz w:val="17"/>
                <w:szCs w:val="17"/>
                <w:color w:val="auto"/>
              </w:rPr>
            </w:pPr>
          </w:p>
        </w:tc>
        <w:tc>
          <w:tcPr>
            <w:tcW w:w="4720" w:type="dxa"/>
            <w:vAlign w:val="bottom"/>
            <w:gridSpan w:val="2"/>
          </w:tcPr>
          <w:p>
            <w:pPr>
              <w:jc w:val="center"/>
              <w:ind w:left="3011"/>
              <w:spacing w:after="0"/>
              <w:rPr>
                <w:sz w:val="20"/>
                <w:szCs w:val="20"/>
                <w:color w:val="auto"/>
              </w:rPr>
            </w:pPr>
            <w:r>
              <w:rPr>
                <w:rFonts w:ascii="Times New Roman" w:cs="Times New Roman" w:eastAsia="Times New Roman" w:hAnsi="Times New Roman"/>
                <w:sz w:val="18"/>
                <w:szCs w:val="18"/>
                <w:b w:val="1"/>
                <w:bCs w:val="1"/>
                <w:color w:val="auto"/>
                <w:w w:val="98"/>
              </w:rPr>
              <w:t>Nature of Occupancy</w:t>
            </w:r>
          </w:p>
        </w:tc>
      </w:tr>
      <w:tr>
        <w:trPr>
          <w:trHeight w:val="20"/>
        </w:trPr>
        <w:tc>
          <w:tcPr>
            <w:tcW w:w="6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4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Facilities:</w:t>
            </w:r>
          </w:p>
        </w:tc>
        <w:tc>
          <w:tcPr>
            <w:tcW w:w="3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Birmingham, Alabama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Phoenix, Arizona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Monrovia, California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Diego, California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Francisco, California (2)</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Shelton, Connecticut</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Tampa, Florida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Bend, Indiana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Wichita, Kansas</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Baltimore, Maryland</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Holyoke, Massachusetts</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Westborough, Massachusetts</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Michigan</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Paul, Minnesota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Raritan, New Jersey</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Burlington, North Carolina (5)</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Owned/Leased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Triangle Park, North Carolina (3)</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Dublin, Ohio</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Tulsa, Oklahoma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Brentwood, Tennessee</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Herndon, Virginia</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Seattle, Washington</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Spokane, Washington (2)</w:t>
            </w:r>
          </w:p>
        </w:tc>
        <w:tc>
          <w:tcPr>
            <w:tcW w:w="3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 Creek, Wisconsin</w:t>
            </w:r>
          </w:p>
        </w:tc>
        <w:tc>
          <w:tcPr>
            <w:tcW w:w="3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BLS operates on a global scale. The table below summarizes certain information as to BLS’s principal operating and administrative facilities at December 31, 2024.</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5040" w:type="dxa"/>
            <w:vAlign w:val="bottom"/>
          </w:tcPr>
          <w:p>
            <w:pPr>
              <w:spacing w:after="0"/>
              <w:rPr>
                <w:sz w:val="19"/>
                <w:szCs w:val="19"/>
                <w:color w:val="auto"/>
              </w:rPr>
            </w:pPr>
          </w:p>
        </w:tc>
        <w:tc>
          <w:tcPr>
            <w:tcW w:w="5180" w:type="dxa"/>
            <w:vAlign w:val="bottom"/>
            <w:gridSpan w:val="2"/>
          </w:tcPr>
          <w:p>
            <w:pPr>
              <w:jc w:val="center"/>
              <w:ind w:left="3471"/>
              <w:spacing w:after="0"/>
              <w:rPr>
                <w:sz w:val="20"/>
                <w:szCs w:val="20"/>
                <w:color w:val="auto"/>
              </w:rPr>
            </w:pPr>
            <w:r>
              <w:rPr>
                <w:rFonts w:ascii="Times New Roman" w:cs="Times New Roman" w:eastAsia="Times New Roman" w:hAnsi="Times New Roman"/>
                <w:sz w:val="18"/>
                <w:szCs w:val="18"/>
                <w:b w:val="1"/>
                <w:bCs w:val="1"/>
                <w:color w:val="auto"/>
                <w:w w:val="98"/>
              </w:rPr>
              <w:t>Nature of Occupancy</w:t>
            </w:r>
          </w:p>
        </w:tc>
      </w:tr>
      <w:tr>
        <w:trPr>
          <w:trHeight w:val="27"/>
        </w:trPr>
        <w:tc>
          <w:tcPr>
            <w:tcW w:w="680" w:type="dxa"/>
            <w:vAlign w:val="bottom"/>
            <w:shd w:val="clear" w:color="auto" w:fill="000000"/>
          </w:tcPr>
          <w:p>
            <w:pPr>
              <w:spacing w:after="0"/>
              <w:rPr>
                <w:sz w:val="2"/>
                <w:szCs w:val="2"/>
                <w:color w:val="auto"/>
              </w:rPr>
            </w:pPr>
          </w:p>
        </w:tc>
        <w:tc>
          <w:tcPr>
            <w:tcW w:w="50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r>
      <w:tr>
        <w:trPr>
          <w:trHeight w:val="275"/>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Facilities:</w:t>
            </w:r>
          </w:p>
        </w:tc>
        <w:tc>
          <w:tcPr>
            <w:tcW w:w="35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Mechelen, Belgium</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China (2)</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Leased/Owned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Muenster, Germany</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India</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Kawagoe, Japan</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 Switzerland (2)</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Owned/Leased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Eye, United Kingdom</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Harrogate, United Kingdom</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Huntingdon, United Kingdom</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Shardlow, United Kingdom</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 United Kingdom</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Greenfield, Indiana</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Indianapolis, Indiana</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Bedford, Massachusetts</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Arbor, Michigan</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Somerset, New Jersey</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Denver, Pennsylvania</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Brentwood, Tennessee</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Chantilly, Virginia</w:t>
            </w:r>
          </w:p>
        </w:tc>
        <w:tc>
          <w:tcPr>
            <w:tcW w:w="3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Madison, Wisconsin</w:t>
            </w:r>
          </w:p>
        </w:tc>
        <w:tc>
          <w:tcPr>
            <w:tcW w:w="35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bl>
    <w:p>
      <w:pPr>
        <w:spacing w:after="0" w:line="19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All of the Company’s primary facilities have been built or improved for the purpose of providing commercial laboratory testing or biopharma laboratory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23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15 Commitments and Contingencies to the Consolidated Financial Statements.</w:t>
      </w:r>
    </w:p>
    <w:p>
      <w:pPr>
        <w:spacing w:after="0" w:line="24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7" w:lineRule="exact"/>
        <w:rPr>
          <w:sz w:val="20"/>
          <w:szCs w:val="20"/>
          <w:color w:val="auto"/>
        </w:rPr>
      </w:pPr>
    </w:p>
    <w:p>
      <w:pPr>
        <w:jc w:val="both"/>
        <w:ind w:left="960" w:right="20" w:hanging="1360"/>
        <w:spacing w:after="0" w:line="281"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Company’s common stock, par value $0.10 per share, or Common Stock, trades on the New York Stock Exchange or NYSE under the symbol “LH”.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February 24, 2025, there were approximately 1,038 holders of record of the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transfer agent for the Company’s Common Stock is Equiniti Trust Company, LLC, 48 Wall Street, Floor 23, New York, NY 10005, telephone: 800-</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468-9716, website: www.https://equiniti.com/us/.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1"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The Company initiated a quarterly dividend beginning in the second quarter of 2022. The Company’s ability to pay dividends is primarily dependent on earnings from operations, the adequacy of capital and the availability of liquid assets for distribution.</w:t>
      </w:r>
    </w:p>
    <w:p>
      <w:pPr>
        <w:spacing w:after="0" w:line="69"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2024, the Company paid $243.1 million in Common Stock dividends. The Company expects common dividend declarations, if made, to occur in January, April, July, and October with payment dates in March, June, September and December, and are subject to Board approval. There can be no assurance that the Company will continue to pay quarterly cash dividends at the current rate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Performance</w:t>
      </w:r>
    </w:p>
    <w:p>
      <w:pPr>
        <w:spacing w:after="0" w:line="91"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The graph below shows the cumulative total return assuming an investment of $100 on December 31, 2019, in each of the Company’s Common Stock, the Standard &amp; Poor’s, (S&amp;P) 500 Index and the S&amp;P 500 Health Care Index, and assuming that all dividends were reinvested. For the purpose of this graph, the distribution of 100% of the outstanding Common Stock of Fortrea to the Company’s shareholders, pursuant to which Fortrea became an independent company, is treated as a non-taxable cash dividend of $33.11 per share, an amount equal to the opening price of Fortrea common stock when it began trading on June 20, 2023, that was deemed reinvested in the Company’s Common Stock at the closing price on June 20,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660" w:type="dxa"/>
            <w:vAlign w:val="bottom"/>
            <w:gridSpan w:val="10"/>
          </w:tcPr>
          <w:p>
            <w:pPr>
              <w:ind w:left="102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0"/>
        </w:trPr>
        <w:tc>
          <w:tcPr>
            <w:tcW w:w="70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12/2024</w:t>
            </w:r>
          </w:p>
        </w:tc>
      </w:tr>
      <w:tr>
        <w:trPr>
          <w:trHeight w:val="227"/>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Labcorp Holdings Inc.</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w:t>
            </w:r>
          </w:p>
        </w:tc>
      </w:tr>
      <w:tr>
        <w:trPr>
          <w:trHeight w:val="22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r>
      <w:tr>
        <w:trPr>
          <w:trHeight w:val="227"/>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Index</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59055</wp:posOffset>
            </wp:positionV>
            <wp:extent cx="5193665" cy="3151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93665" cy="315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(all amounts in millions, except per share amounts)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purchases of shares of the Company’s Common Stock made during the quarter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by or on behalf of the Company: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Average Price</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 Repurchased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Maximum Dollar Value of Shares that</w:t>
            </w:r>
          </w:p>
        </w:tc>
        <w:tc>
          <w:tcPr>
            <w:tcW w:w="0" w:type="dxa"/>
            <w:vAlign w:val="bottom"/>
          </w:tcPr>
          <w:p>
            <w:pPr>
              <w:spacing w:after="0"/>
              <w:rPr>
                <w:sz w:val="1"/>
                <w:szCs w:val="1"/>
                <w:color w:val="auto"/>
              </w:rPr>
            </w:pPr>
          </w:p>
        </w:tc>
      </w:tr>
      <w:tr>
        <w:trPr>
          <w:trHeight w:val="178"/>
        </w:trPr>
        <w:tc>
          <w:tcPr>
            <w:tcW w:w="2560" w:type="dxa"/>
            <w:vAlign w:val="bottom"/>
          </w:tcPr>
          <w:p>
            <w:pPr>
              <w:spacing w:after="0"/>
              <w:rPr>
                <w:sz w:val="15"/>
                <w:szCs w:val="15"/>
                <w:color w:val="auto"/>
              </w:rPr>
            </w:pPr>
          </w:p>
        </w:tc>
        <w:tc>
          <w:tcPr>
            <w:tcW w:w="13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5"/>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7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8"/>
              </w:rPr>
              <w:t>as Part of Publicly Announced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Pr>
          <w:p>
            <w:pPr>
              <w:jc w:val="center"/>
              <w:ind w:right="11"/>
              <w:spacing w:after="0" w:line="178" w:lineRule="exact"/>
              <w:rPr>
                <w:sz w:val="20"/>
                <w:szCs w:val="20"/>
                <w:color w:val="auto"/>
              </w:rPr>
            </w:pPr>
            <w:r>
              <w:rPr>
                <w:rFonts w:ascii="Times New Roman" w:cs="Times New Roman" w:eastAsia="Times New Roman" w:hAnsi="Times New Roman"/>
                <w:sz w:val="18"/>
                <w:szCs w:val="18"/>
                <w:color w:val="auto"/>
                <w:w w:val="97"/>
              </w:rPr>
              <w:t>May Yet Be Repurchased Under the</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Repurchased</w:t>
            </w:r>
          </w:p>
        </w:tc>
        <w:tc>
          <w:tcPr>
            <w:tcW w:w="12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Paid Per Share</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Program</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Program</w:t>
            </w:r>
          </w:p>
        </w:tc>
        <w:tc>
          <w:tcPr>
            <w:tcW w:w="0" w:type="dxa"/>
            <w:vAlign w:val="bottom"/>
          </w:tcPr>
          <w:p>
            <w:pPr>
              <w:spacing w:after="0"/>
              <w:rPr>
                <w:sz w:val="1"/>
                <w:szCs w:val="1"/>
                <w:color w:val="auto"/>
              </w:rPr>
            </w:pPr>
          </w:p>
        </w:tc>
      </w:tr>
      <w:tr>
        <w:trPr>
          <w:trHeight w:val="227"/>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0" w:type="dxa"/>
            <w:vAlign w:val="bottom"/>
          </w:tcPr>
          <w:p>
            <w:pPr>
              <w:spacing w:after="0"/>
              <w:rPr>
                <w:sz w:val="1"/>
                <w:szCs w:val="1"/>
                <w:color w:val="auto"/>
              </w:rPr>
            </w:pPr>
          </w:p>
        </w:tc>
      </w:tr>
      <w:tr>
        <w:trPr>
          <w:trHeight w:val="227"/>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10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100" w:type="dxa"/>
            <w:vAlign w:val="bottom"/>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 purchased 1.1 shares of its Common Stock at an average price per share of $219.57 for a total cost of $250.1. When the Company repurchases shares, the amount paid to repurchase the shares in excess of the par or stated value is allocated to additional paid-in-capital unless subject to limitation or the balance in additional paid-in-capital is exhausted. Remaining amounts are recognized as a reduction in retained earnings. At the end of 2024, the Company had outstanding authorization from its Board to purchase up to $1,280.4 maximum value of the Company’s Common Stock. The repurchase authorization has no expiration date.</w:t>
      </w:r>
    </w:p>
    <w:p>
      <w:pPr>
        <w:spacing w:after="0" w:line="10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2023, the Company purchased 4.8 shares of its Common Stock at an average price per share of $206.85 for a total cost of $1,000.0.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47" w:lineRule="exact"/>
        <w:rPr>
          <w:sz w:val="20"/>
          <w:szCs w:val="20"/>
          <w:color w:val="auto"/>
        </w:rPr>
      </w:pPr>
    </w:p>
    <w:p>
      <w:pPr>
        <w:ind w:right="120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GENERAL (dollars in millions)</w:t>
      </w:r>
    </w:p>
    <w:p>
      <w:pPr>
        <w:spacing w:after="0" w:line="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the Company’s revenues were $13,008.9, an increase of 7.0% from $12,161.6 for the corresponding period in 2023. The 7.0% increase in revenues for the year ended December 31, 2024, as compared to the corresponding period in 2023, was primarily due to organic revenue of 3.9%, acquisitions, net of divestitures of 2.8%, and favorable foreign currency translation of 0.2%. The 3.9% increase in organic revenue was due to a 4.9% increase in the Company’s organic Base Business (Base Business includes the Company’s business operations except for COVID-19 Testing), partially offset by a 1.0% decrease in COVID-19 Testing.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defines organic growth as the increase in revenue excluding the year over year impact of acquisitions, divestitures, and currency.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twelve-month period following the close of each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of Fortrea Holdings Inc.</w:t>
      </w:r>
    </w:p>
    <w:p>
      <w:pPr>
        <w:spacing w:after="0" w:line="14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On June 30, 2023, Labcorp completed the previously announced separation (Spin-off) of its former Clinical Development and Commercialization Services (CDCS) business into Fortrea.</w:t>
      </w:r>
    </w:p>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All historical operating results of Fortrea are presented as Earnings from discontinued operations, net of tax, in the Company’s Consolidated Statements of Operations. The spin-off is expected to be treated as tax-free for the Company and its shareholders for U.S. federal income tax purposes.</w:t>
      </w:r>
    </w:p>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a result of the separation of Fortrea, the Company recast segment results to exclude the historical results of the CDCS business for all periods presented. The remaining operations of the previously reported Drug Development segment have been renamed the Biopharma Laboratory Services (BLS)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212529"/>
        </w:rPr>
        <w:t>The following tables present the financial measures that management considers to be the most significant indicators of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s performance. For discussion of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12529"/>
        </w:rPr>
        <w:t xml:space="preserve"> results and comparison with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12529"/>
        </w:rPr>
        <w:t xml:space="preserve"> results refer to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Management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Discussion and Analysis of Financial Conditions and Results of Operations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in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s Annual Report on Form 10-K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0"/>
        </w:trPr>
        <w:tc>
          <w:tcPr>
            <w:tcW w:w="720" w:type="dxa"/>
            <w:vAlign w:val="bottom"/>
            <w:tcBorders>
              <w:top w:val="single" w:sz="8" w:color="auto"/>
            </w:tcBorders>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720" w:type="dxa"/>
            <w:vAlign w:val="bottom"/>
            <w:tcBorders>
              <w:bottom w:val="single" w:sz="8" w:color="CCEEFF"/>
            </w:tcBorders>
          </w:tcPr>
          <w:p>
            <w:pPr>
              <w:spacing w:after="0"/>
              <w:rPr>
                <w:sz w:val="20"/>
                <w:szCs w:val="20"/>
                <w:color w:val="auto"/>
              </w:rPr>
            </w:pPr>
          </w:p>
        </w:tc>
        <w:tc>
          <w:tcPr>
            <w:tcW w:w="6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109.4 %</w:t>
            </w:r>
          </w:p>
        </w:tc>
      </w:tr>
      <w:tr>
        <w:trPr>
          <w:trHeight w:val="22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0"/>
        </w:trPr>
        <w:tc>
          <w:tcPr>
            <w:tcW w:w="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Dx revenues for the year ended December 31, 2024, were $10,144.3, an increase of 7.7% compared to revenues of $9,415.1 in the corresponding period in 2023. The increase was due to organic revenue of 4.1% and acquisitions, net of divestitures of 3.7%. The 4.1% increase in organic revenue was due to a 5.4% contribution from organic Base Business, partially offset by a 1.3% decrease in COVID-19 Testing. Total Base Business growth compared to the Base Business in the prior year was 9.2%.</w:t>
      </w:r>
    </w:p>
    <w:p>
      <w:pPr>
        <w:spacing w:after="0" w:line="8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Total volume, measured by requisitions, increased by 5.3% as acquisitions, net of divestitures, volume contributed growth of 2.7%, and organic volume increased by 2.6%. Organic volume was impacted by a 3.3% increase in the Base Business, partially offset by a 0.8% decrease in COVID-19 Testing. Price/mix increased by 2.5% due to organic Base Business growth of 2.1% and acquisitions, net of divestitures, of 1.0%, partially offset by a decrease in COVID-19 Testing of 0.5%.</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BLS revenues for the year ended December 31, 2024, were $2,922.6, an increase of 5.3% over revenues of $2,774.2 in the corresponding period in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revenues was primarily due to organic growth of 4.3% and favorable foreign currency translation of 1.1%.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6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741"/>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0"/>
        </w:trPr>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Pr>
          <w:p>
            <w:pPr>
              <w:spacing w:after="0"/>
              <w:rPr>
                <w:sz w:val="24"/>
                <w:szCs w:val="24"/>
                <w:color w:val="auto"/>
              </w:rPr>
            </w:pPr>
          </w:p>
        </w:tc>
      </w:tr>
      <w:tr>
        <w:trPr>
          <w:trHeight w:val="234"/>
        </w:trPr>
        <w:tc>
          <w:tcPr>
            <w:tcW w:w="4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54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9,384.5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8,796.7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2"/>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7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Cost of revenues increased 6.7% for the year ended December 31, 2024, as compared with corresponding period in 2023, and decreased as a percentage of revenues to 72.1% for the year ended December 31, 2024, as compared to 72.3% for corresponding period in 2023. This decrease in cost of revenues as a percentage of revenues was primarily due to higher organic demand and LaunchPad savings, partially offset by higher personnel costs and lower COVID-19 Testing.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14"/>
        </w:trPr>
        <w:tc>
          <w:tcPr>
            <w:tcW w:w="34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Pr>
          <w:p>
            <w:pPr>
              <w:spacing w:after="0"/>
              <w:rPr>
                <w:sz w:val="24"/>
                <w:szCs w:val="24"/>
                <w:color w:val="auto"/>
              </w:rPr>
            </w:pPr>
          </w:p>
        </w:tc>
      </w:tr>
      <w:tr>
        <w:trPr>
          <w:trHeight w:val="234"/>
        </w:trPr>
        <w:tc>
          <w:tcPr>
            <w:tcW w:w="3480" w:type="dxa"/>
            <w:vAlign w:val="bottom"/>
            <w:tcBorders>
              <w:bottom w:val="single" w:sz="8" w:color="CCEEFF"/>
            </w:tcBorders>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2"/>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 as a % of revenues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6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increased to 17.1% for the year ended December 31, 2024, as compared to 16.6% for the corresponding period in 2023. The increase in selling, general and administrative expenses as a percentage of revenues is primarily due to higher personnel costs, a reduction in COVID-19 Testing revenues, and the impact from the Invitae transaction, partially offset by LaunchPad savings and demand.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Asset Impairments</w:t>
      </w:r>
    </w:p>
    <w:p>
      <w:pPr>
        <w:spacing w:after="0" w:line="16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18415</wp:posOffset>
            </wp:positionV>
            <wp:extent cx="16859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85925" cy="17145"/>
                    </a:xfrm>
                    <a:prstGeom prst="rect">
                      <a:avLst/>
                    </a:prstGeom>
                    <a:noFill/>
                  </pic:spPr>
                </pic:pic>
              </a:graphicData>
            </a:graphic>
          </wp:anchor>
        </w:drawing>
      </w:r>
    </w:p>
    <w:p>
      <w:pPr>
        <w:spacing w:after="0" w:line="27" w:lineRule="exact"/>
        <w:rPr>
          <w:sz w:val="20"/>
          <w:szCs w:val="20"/>
          <w:color w:val="auto"/>
        </w:rPr>
      </w:pPr>
    </w:p>
    <w:p>
      <w:pPr>
        <w:ind w:left="7520"/>
        <w:spacing w:after="0"/>
        <w:tabs>
          <w:tab w:leader="none" w:pos="8860" w:val="left"/>
          <w:tab w:leader="none" w:pos="102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61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7040" w:val="left"/>
          <w:tab w:leader="none" w:pos="8020" w:val="left"/>
          <w:tab w:leader="none" w:pos="8420" w:val="left"/>
          <w:tab w:leader="none" w:pos="9220" w:val="left"/>
          <w:tab w:leader="none" w:pos="10620" w:val="left"/>
        </w:tabs>
        <w:rPr>
          <w:sz w:val="20"/>
          <w:szCs w:val="20"/>
          <w:color w:val="auto"/>
        </w:rPr>
      </w:pPr>
      <w:r>
        <w:rPr>
          <w:rFonts w:ascii="Times New Roman" w:cs="Times New Roman" w:eastAsia="Times New Roman" w:hAnsi="Times New Roman"/>
          <w:sz w:val="18"/>
          <w:szCs w:val="18"/>
          <w:color w:val="auto"/>
        </w:rPr>
        <w:t>Goodwill and other asset impairments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w:t>
        <w:tab/>
        <w:t>$</w:t>
      </w:r>
      <w:r>
        <w:rPr>
          <w:sz w:val="20"/>
          <w:szCs w:val="20"/>
          <w:color w:val="auto"/>
        </w:rPr>
        <w:tab/>
      </w:r>
      <w:r>
        <w:rPr>
          <w:rFonts w:ascii="Times New Roman" w:cs="Times New Roman" w:eastAsia="Times New Roman" w:hAnsi="Times New Roman"/>
          <w:sz w:val="18"/>
          <w:szCs w:val="18"/>
          <w:color w:val="auto"/>
        </w:rPr>
        <w:t>349.0</w:t>
      </w:r>
      <w:r>
        <w:rPr>
          <w:sz w:val="20"/>
          <w:szCs w:val="20"/>
          <w:color w:val="auto"/>
        </w:rPr>
        <w:tab/>
      </w:r>
      <w:r>
        <w:rPr>
          <w:rFonts w:ascii="Times New Roman" w:cs="Times New Roman" w:eastAsia="Times New Roman" w:hAnsi="Times New Roman"/>
          <w:sz w:val="17"/>
          <w:szCs w:val="17"/>
          <w:color w:val="auto"/>
        </w:rPr>
        <w:t>(98.5)%</w:t>
      </w:r>
    </w:p>
    <w:p>
      <w:pPr>
        <w:spacing w:after="0" w:line="22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impairment charges for the year ended December 31, 2024, were primarily due to the decommissioning of an information system and a robotic asset. The impairment charges for the year ended December 31, 2023, were primarily comprised of $333.6 of goodwill impairment for the ED reporting unit, which is part of the BLS segment.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Amortization of Intangibles and Other Assets</w:t>
      </w:r>
    </w:p>
    <w:p>
      <w:pPr>
        <w:spacing w:after="0" w:line="15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18415</wp:posOffset>
            </wp:positionV>
            <wp:extent cx="16948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94815" cy="17145"/>
                    </a:xfrm>
                    <a:prstGeom prst="rect">
                      <a:avLst/>
                    </a:prstGeom>
                    <a:noFill/>
                  </pic:spPr>
                </pic:pic>
              </a:graphicData>
            </a:graphic>
          </wp:anchor>
        </w:drawing>
      </w:r>
    </w:p>
    <w:p>
      <w:pPr>
        <w:spacing w:after="0" w:line="27" w:lineRule="exact"/>
        <w:rPr>
          <w:sz w:val="20"/>
          <w:szCs w:val="20"/>
          <w:color w:val="auto"/>
        </w:rPr>
      </w:pPr>
    </w:p>
    <w:p>
      <w:pPr>
        <w:ind w:left="7480"/>
        <w:spacing w:after="0"/>
        <w:tabs>
          <w:tab w:leader="none" w:pos="8860" w:val="left"/>
          <w:tab w:leader="none" w:pos="102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61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7020" w:val="left"/>
          <w:tab w:leader="none" w:pos="7820" w:val="left"/>
          <w:tab w:leader="none" w:pos="8420" w:val="left"/>
          <w:tab w:leader="none" w:pos="9200" w:val="left"/>
          <w:tab w:leader="none" w:pos="10700" w:val="left"/>
        </w:tabs>
        <w:rPr>
          <w:sz w:val="20"/>
          <w:szCs w:val="20"/>
          <w:color w:val="auto"/>
        </w:rPr>
      </w:pPr>
      <w:r>
        <w:rPr>
          <w:rFonts w:ascii="Times New Roman" w:cs="Times New Roman" w:eastAsia="Times New Roman" w:hAnsi="Times New Roman"/>
          <w:sz w:val="18"/>
          <w:szCs w:val="18"/>
          <w:color w:val="auto"/>
        </w:rPr>
        <w:t>Amortization of intangibles and other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256.4</w:t>
        <w:tab/>
        <w:t>$</w:t>
      </w:r>
      <w:r>
        <w:rPr>
          <w:sz w:val="20"/>
          <w:szCs w:val="20"/>
          <w:color w:val="auto"/>
        </w:rPr>
        <w:tab/>
      </w:r>
      <w:r>
        <w:rPr>
          <w:rFonts w:ascii="Times New Roman" w:cs="Times New Roman" w:eastAsia="Times New Roman" w:hAnsi="Times New Roman"/>
          <w:sz w:val="18"/>
          <w:szCs w:val="18"/>
          <w:color w:val="auto"/>
        </w:rPr>
        <w:t>219.8</w:t>
      </w:r>
      <w:r>
        <w:rPr>
          <w:sz w:val="20"/>
          <w:szCs w:val="20"/>
          <w:color w:val="auto"/>
        </w:rPr>
        <w:tab/>
      </w:r>
      <w:r>
        <w:rPr>
          <w:rFonts w:ascii="Times New Roman" w:cs="Times New Roman" w:eastAsia="Times New Roman" w:hAnsi="Times New Roman"/>
          <w:sz w:val="17"/>
          <w:szCs w:val="17"/>
          <w:color w:val="auto"/>
        </w:rPr>
        <w:t>16.7 %</w:t>
      </w:r>
    </w:p>
    <w:p>
      <w:pPr>
        <w:spacing w:after="0" w:line="220"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December 31,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Other Charges</w:t>
      </w:r>
    </w:p>
    <w:p>
      <w:pPr>
        <w:spacing w:after="0" w:line="16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18415</wp:posOffset>
            </wp:positionV>
            <wp:extent cx="16948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94815" cy="17145"/>
                    </a:xfrm>
                    <a:prstGeom prst="rect">
                      <a:avLst/>
                    </a:prstGeom>
                    <a:noFill/>
                  </pic:spPr>
                </pic:pic>
              </a:graphicData>
            </a:graphic>
          </wp:anchor>
        </w:drawing>
      </w:r>
    </w:p>
    <w:p>
      <w:pPr>
        <w:spacing w:after="0" w:line="27" w:lineRule="exact"/>
        <w:rPr>
          <w:sz w:val="20"/>
          <w:szCs w:val="20"/>
          <w:color w:val="auto"/>
        </w:rPr>
      </w:pPr>
    </w:p>
    <w:p>
      <w:pPr>
        <w:ind w:left="7480"/>
        <w:spacing w:after="0"/>
        <w:tabs>
          <w:tab w:leader="none" w:pos="8860" w:val="left"/>
          <w:tab w:leader="none" w:pos="102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61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7020" w:val="left"/>
          <w:tab w:leader="none" w:pos="7900" w:val="left"/>
          <w:tab w:leader="none" w:pos="8420" w:val="left"/>
          <w:tab w:leader="none" w:pos="9300" w:val="left"/>
          <w:tab w:leader="none" w:pos="10700" w:val="left"/>
        </w:tabs>
        <w:rPr>
          <w:sz w:val="20"/>
          <w:szCs w:val="20"/>
          <w:color w:val="auto"/>
        </w:rPr>
      </w:pPr>
      <w:r>
        <w:rPr>
          <w:rFonts w:ascii="Times New Roman" w:cs="Times New Roman" w:eastAsia="Times New Roman" w:hAnsi="Times New Roman"/>
          <w:sz w:val="18"/>
          <w:szCs w:val="18"/>
          <w:color w:val="auto"/>
        </w:rPr>
        <w:t>Restructuring and other charges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46.0</w:t>
        <w:tab/>
        <w:t>$</w:t>
      </w:r>
      <w:r>
        <w:rPr>
          <w:sz w:val="20"/>
          <w:szCs w:val="20"/>
          <w:color w:val="auto"/>
        </w:rPr>
        <w:tab/>
      </w: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(6.3)%</w:t>
      </w:r>
    </w:p>
    <w:p>
      <w:pPr>
        <w:spacing w:after="0" w:line="20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2024, the Company recorded net restructuring charges of $46.0. The charges were comprised of $43.0 in severance and other personnel costs, and $5.9 in facility-related costs primarily associated with general integration activities. The charges were adjusted by the reversal of previously established liability of $2.5 in unused severance and $0.4 in unused facility-related costs.</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2023, the Company recorded net restructuring charges of $49.1. The charges were comprised of $33.4 in severance and other personnel costs and $22.3 in facility-related costs primarily associated with general integration activities. The charges were adjusted by the reversal of previously established liability of $1.7 in unused severance and $4.9 in unused facility-related costs.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66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61"/>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4"/>
        </w:trPr>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Pr>
          <w:p>
            <w:pPr>
              <w:spacing w:after="0"/>
              <w:rPr>
                <w:sz w:val="24"/>
                <w:szCs w:val="24"/>
                <w:color w:val="auto"/>
              </w:rPr>
            </w:pPr>
          </w:p>
        </w:tc>
      </w:tr>
      <w:tr>
        <w:trPr>
          <w:trHeight w:val="234"/>
        </w:trPr>
        <w:tc>
          <w:tcPr>
            <w:tcW w:w="4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6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increase in interest expense for the year ended December 31, 2024, as compared with the corresponding period in 2023 is primarily due to higher borrowings under its revolving credit facility, senior notes, and the new accounts receivable securitization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Method Income, Net</w:t>
      </w:r>
    </w:p>
    <w:p>
      <w:pPr>
        <w:spacing w:after="0" w:line="1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18415</wp:posOffset>
            </wp:positionV>
            <wp:extent cx="16948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94815" cy="17145"/>
                    </a:xfrm>
                    <a:prstGeom prst="rect">
                      <a:avLst/>
                    </a:prstGeom>
                    <a:noFill/>
                  </pic:spPr>
                </pic:pic>
              </a:graphicData>
            </a:graphic>
          </wp:anchor>
        </w:drawing>
      </w:r>
    </w:p>
    <w:p>
      <w:pPr>
        <w:spacing w:after="0" w:line="27" w:lineRule="exact"/>
        <w:rPr>
          <w:sz w:val="20"/>
          <w:szCs w:val="20"/>
          <w:color w:val="auto"/>
        </w:rPr>
      </w:pPr>
    </w:p>
    <w:p>
      <w:pPr>
        <w:ind w:left="7480"/>
        <w:spacing w:after="0"/>
        <w:tabs>
          <w:tab w:leader="none" w:pos="8860" w:val="left"/>
          <w:tab w:leader="none" w:pos="102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61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7020" w:val="left"/>
          <w:tab w:leader="none" w:pos="7920" w:val="left"/>
          <w:tab w:leader="none" w:pos="8420" w:val="left"/>
          <w:tab w:leader="none" w:pos="9300" w:val="left"/>
          <w:tab w:leader="none" w:pos="10820" w:val="left"/>
        </w:tabs>
        <w:rPr>
          <w:sz w:val="20"/>
          <w:szCs w:val="20"/>
          <w:color w:val="auto"/>
        </w:rPr>
      </w:pPr>
      <w:r>
        <w:rPr>
          <w:rFonts w:ascii="Times New Roman" w:cs="Times New Roman" w:eastAsia="Times New Roman" w:hAnsi="Times New Roman"/>
          <w:sz w:val="18"/>
          <w:szCs w:val="18"/>
          <w:color w:val="auto"/>
        </w:rPr>
        <w:t>Equity method income,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w:t>
        <w:tab/>
        <w:t>$</w:t>
      </w:r>
      <w:r>
        <w:rPr>
          <w:sz w:val="20"/>
          <w:szCs w:val="20"/>
          <w:color w:val="auto"/>
        </w:rPr>
        <w:tab/>
      </w: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Equity method income, net represents the Company’s ownership share in joint venture partnerships along with equity investments in other companies in the health care industry, which remained flat in the year ended December 31, 2024, as compared with the corresponding period in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Other, Net</w:t>
            </w: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74"/>
        </w:trPr>
        <w:tc>
          <w:tcPr>
            <w:tcW w:w="8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Pr>
          <w:p>
            <w:pPr>
              <w:spacing w:after="0"/>
              <w:rPr>
                <w:sz w:val="24"/>
                <w:szCs w:val="24"/>
                <w:color w:val="auto"/>
              </w:rPr>
            </w:pPr>
          </w:p>
        </w:tc>
      </w:tr>
      <w:tr>
        <w:trPr>
          <w:trHeight w:val="234"/>
        </w:trPr>
        <w:tc>
          <w:tcPr>
            <w:tcW w:w="800" w:type="dxa"/>
            <w:vAlign w:val="bottom"/>
            <w:tcBorders>
              <w:bottom w:val="single" w:sz="8" w:color="CCEEFF"/>
            </w:tcBorders>
          </w:tcPr>
          <w:p>
            <w:pPr>
              <w:spacing w:after="0"/>
              <w:rPr>
                <w:sz w:val="20"/>
                <w:szCs w:val="20"/>
                <w:color w:val="auto"/>
              </w:rPr>
            </w:pPr>
          </w:p>
        </w:tc>
        <w:tc>
          <w:tcPr>
            <w:tcW w:w="6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288.4 %</w:t>
            </w:r>
          </w:p>
        </w:tc>
      </w:tr>
    </w:tbl>
    <w:p>
      <w:pPr>
        <w:spacing w:after="0" w:line="1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Other, net for the year ended December 31, 2024, was primarily due to $80.0 of transition services fees charged to Fortrea related to administrative and IT systems support. The costs to provide these services are included in operating income, but the service fees are included in other income. In addition, the Company recorded a $6.4 gain related to the divestiture of Beacon Laboratory Benefit Solutions, Inc. This income was partially offset by foreign currency transaction losses of $15.3 and an $11.4 loss on investments.</w:t>
      </w:r>
    </w:p>
    <w:p>
      <w:pPr>
        <w:spacing w:after="0" w:line="8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Other, net for the year ended December 31, 2023, was primarily due to $46.1 of transition services fees charged to Fortrea related to administrative and IT systems support, partially offset by pension plan settlement charges of $10.9 and a $4.8 loss on investments.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0"/>
        </w:trPr>
        <w:tc>
          <w:tcPr>
            <w:tcW w:w="2080" w:type="dxa"/>
            <w:vAlign w:val="bottom"/>
            <w:tcBorders>
              <w:top w:val="single" w:sz="8" w:color="auto"/>
            </w:tcBorders>
          </w:tcPr>
          <w:p>
            <w:pPr>
              <w:spacing w:after="0"/>
              <w:rPr>
                <w:sz w:val="24"/>
                <w:szCs w:val="24"/>
                <w:color w:val="auto"/>
              </w:rPr>
            </w:pPr>
          </w:p>
        </w:tc>
        <w:tc>
          <w:tcPr>
            <w:tcW w:w="6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2080" w:type="dxa"/>
            <w:vAlign w:val="bottom"/>
            <w:tcBorders>
              <w:bottom w:val="single" w:sz="8" w:color="CCEEFF"/>
            </w:tcBorders>
          </w:tcPr>
          <w:p>
            <w:pPr>
              <w:spacing w:after="0"/>
              <w:rPr>
                <w:sz w:val="20"/>
                <w:szCs w:val="20"/>
                <w:color w:val="auto"/>
              </w:rPr>
            </w:pPr>
          </w:p>
        </w:tc>
        <w:tc>
          <w:tcPr>
            <w:tcW w:w="6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188.5</w:t>
            </w:r>
          </w:p>
        </w:tc>
      </w:tr>
      <w:tr>
        <w:trPr>
          <w:trHeight w:val="23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as a % of income before tax</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r>
    </w:tbl>
    <w:p>
      <w:pPr>
        <w:spacing w:after="0" w:line="176" w:lineRule="exact"/>
        <w:rPr>
          <w:sz w:val="20"/>
          <w:szCs w:val="20"/>
          <w:color w:val="auto"/>
        </w:rPr>
      </w:pPr>
    </w:p>
    <w:p>
      <w:pPr>
        <w:jc w:val="both"/>
        <w:ind w:right="20" w:firstLine="280"/>
        <w:spacing w:after="0" w:line="277" w:lineRule="auto"/>
        <w:rPr>
          <w:sz w:val="20"/>
          <w:szCs w:val="20"/>
          <w:color w:val="auto"/>
        </w:rPr>
      </w:pPr>
      <w:r>
        <w:rPr>
          <w:rFonts w:ascii="Times New Roman" w:cs="Times New Roman" w:eastAsia="Times New Roman" w:hAnsi="Times New Roman"/>
          <w:sz w:val="18"/>
          <w:szCs w:val="18"/>
          <w:color w:val="auto"/>
        </w:rPr>
        <w:t>The decrease in effective tax rate as compared with the prior year is primarily attributable to the unfavorable impact of the prior year goodwill impairment of the ED reporting unit, while no goodwill impairment was recognized during the year ended December 31,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Results by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0" w:type="dxa"/>
            <w:vAlign w:val="bottom"/>
          </w:tcPr>
          <w:p>
            <w:pPr>
              <w:spacing w:after="0"/>
              <w:rPr>
                <w:sz w:val="21"/>
                <w:szCs w:val="21"/>
                <w:color w:val="auto"/>
              </w:rPr>
            </w:pPr>
          </w:p>
        </w:tc>
      </w:tr>
      <w:tr>
        <w:trPr>
          <w:trHeight w:val="234"/>
        </w:trPr>
        <w:tc>
          <w:tcPr>
            <w:tcW w:w="67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1,987.6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Dx operating income was $1,606.3 for the year ended December 31, 2024, an increase of 0.9% over operating income of $1,591.3 in the corresponding period of 2023, and Dx operating margin decreased 110 basis points year-over-year. The decrease in operating margin was primarily due to higher personnel costs, partially offset by organic demand.</w:t>
      </w:r>
    </w:p>
    <w:p>
      <w:pPr>
        <w:spacing w:after="0" w:line="9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BLS operating income was $458.9 for the year ended December 31, 2024, an increase of 15.8% from operating income of $396.3 in the corresponding period of 2023, and BLS operating margin increased 140 basis points year over year. The increase was primarily due to organic growth and LaunchPad savings, partially offset by higher personnel costs.</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General corporate expenses are comprised primarily of administrative services such as executive management, human resources, legal, finance, corporate affairs, and information technology. Corporate expenses were $670.8 for the year ended December 31, 2024, an increase of 4.1% over corporate expenses of $644.1 in the corresponding period of 2023, primarily due to higher costs related to acquisitions and personnel.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and shares in millions)</w:t>
      </w:r>
    </w:p>
    <w:p>
      <w:pPr>
        <w:spacing w:after="0" w:line="11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11 Debt to the Company’s Consolidated Financial Statements.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summary the Company’s cash flows were as follows: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6"/>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79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w:t>
            </w: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continuing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w:t>
            </w: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continuing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impact from discontinued operations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w:t>
            </w:r>
          </w:p>
        </w:tc>
      </w:tr>
      <w:tr>
        <w:trPr>
          <w:trHeight w:val="22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7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Cash and cash equivalents at December 31, 2024, and 2023 totaled $1,518.7 and $536.8, respectively. Cash and cash equivalents consist of highly liquid instruments, such as time deposits and other money market investments, which have original maturities of three months or less.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7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2024, the Company’s continuing operations provided $1,585.8 of cash as compared to $1,202.3 in 2023. The $383.5 increase in cash provided from operations in 2024, as compared with the corresponding 2023 period, was primarily due to higher cash earnings and favorable working capital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7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for continuing investing activities for the year ended December 31, 2024, was $1,366.8 as compared to $1,146.8 for the year ended December 31, 2023. The increase in net cash used for investing activities for the year ended December 31, 2024 as compared to the year ended December 31, 2023, was primarily due to an increase in business acquisitions and higher capital expenditures.</w:t>
      </w:r>
    </w:p>
    <w:p>
      <w:pPr>
        <w:spacing w:after="0" w:line="8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Capital expenditures were $489.9 and $453.6 for the years ended December 31, 2024, and 2023, respectively. Capital expenditures in 2024 were 3.8% of revenues, primarily in connection with projects to support growth in the Company’s core businesses. The Company expects this level of spending to remain consistent in 2025, primarily in connection with projects to support growth in the Company’s core businesses, facility expansion and updates, projects related to its LaunchPad initiative, and further acquisition integration initiatives.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6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Net cash provided by continuing financing activities for the year ended December 31, 2024, was $779.9 compared to cash used in continuing financing activities of $1,559.0 for the year ended December 31, 2023. This movement in cash within financing activities for 2024, as compared to 2023, was primarily due to $2,000.0 of proceeds from new debt securities and $300.0 of proceeds from the new accounts receivable facility described below, partially offset by $1,000.0 of payments towards the Company’s senior notes, $250.1 of share repurchases, and $243.1 of dividends paid, compared to $1,000.0 of share repurchases and $300.0 of payments towards the Company’s senior notes, and $254.0 of dividends paid in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On September 23, 2024, LCAH (the Issuer) entered into a base indenture with U.S. Bank Trust Company, National Association, as trustee (the Trustee) (the 2024 Indenture). On September 23, 2024, the Company, the Issuer and the Trustee entered into supplemental indentures to the 2024 Indenture under which the Issuer issued, and the Company guaranteed, $2,000.0 in debt securities, consisting of $650.0 aggregate principal amount of 4.35% senior notes due 2030, $500.0 aggregate principal amount of 4.55% senior notes due 2032, and $850.0 aggregate principal amount of 4.80% senior notes due 2034, with interest payable semi-annually on April 1 and October 1 of each year, commencing April 1, 2025. Net proceeds from these offerings were approximately $1,983.0 after deducting underwriting discounts and other estimated expenses of the offering. The net proceeds were used to redeem or repay indebtedness and, to the extent not used for such purpose, for other general corporate purposes. Indebtedness redeemed or repaid or to be redeemed or repaid at or prior to maturity were the Company’s 2.30% senior notes due December 2024, its 3.60% senior notes due February 2025, and $500.0 of borrowings under its revolving credit facility.</w:t>
      </w:r>
    </w:p>
    <w:p>
      <w:pPr>
        <w:spacing w:after="0" w:line="107"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On January 13, 2023, LCAH amended and restated its revolving credit facility.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Company is required to pay a facility fee on the aggregate commitments under the revolving credit facility, at a per annum rate ranging from 0.100% to 0.225%, depending on the Company’s debt ratings. Borrowings under the revolving credit facility will accrue interest at a per annum rate equal to, at the Company’s election, either (x) a LIBOR (changed to SOFR in 2023) rate plus a margin ranging from 0.775% to 1.275% or (y) a base rate plus a margin ranging from 0% to 0.275%, in each case, depending on the Company’s debt ratings.</w:t>
      </w:r>
    </w:p>
    <w:p>
      <w:pPr>
        <w:spacing w:after="0" w:line="7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August 23, 2024, the Company and a bankruptcy-remote special purpose vehicle entered into a $300.0 three-year accounts receivable securitization facility with PNC Bank, National Association (PNC) as administrative agent (AR Facility). The AR Facility provides for purchases of accounts receivable by PNC in an amount of up to $300.0 through August of 2027 and may increase to up to $700.0, subject to the satisfaction of certain conditions.</w:t>
      </w:r>
    </w:p>
    <w:p>
      <w:pPr>
        <w:spacing w:after="0" w:line="8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January 31, 2025, the Company amended its AR Facility (AR Facility Amendment). The AR Facility Amendment increased the amount the Company can borrow from PNC from $300.0 to $700.0 through August of 2027. In addition, pursuant to the terms of the AR Facility Amendment (i) the Toronto-Dominion Bank became a party to the underlying receivables purchase agreement as a committed purchaser through January 2026 and (ii) MUFG Bank Ltd. and certain of its related conduit purchasers became parties to the underlying receivables purchase agreement as purchasers and the loans or investments of such conduit purchasers may accrue interest as specified in the AR Facility Amendment and receivables purchase agreement.</w:t>
      </w:r>
    </w:p>
    <w:p>
      <w:pPr>
        <w:spacing w:after="0" w:line="10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On February 18, 2025, the Company borrowed an additional $225.0 under the AR Facility Amendment, bringing the amount outstanding under the AR Facility Amendment to $525.0.</w:t>
      </w:r>
    </w:p>
    <w:p>
      <w:pPr>
        <w:spacing w:after="0" w:line="6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At December 31, 2024, the Company had $1,518.7 of Cash and cash equivalents and $1,000.0 of available borrowings under its revolving credit facility, which does not mature until 2026. Under the Company’s credit facilities and indentures relating to the Company’s senior notes, the Company is subject to negative covenants limiting subsidiary indebtedness and certain other covenants typical for investment grade-rated borrowers, and with respect to the credit facilities, the Company is required to maintain certain leverage ratios. The Company was in compliance with all covenants under the credit facilities and the indentures related to the Company’s outstanding senior notes as of December 31, 2024. The Company expects that it will remain in compliance with all covenants associated with its existing debt obligations for the next twelve months.</w:t>
      </w:r>
    </w:p>
    <w:p>
      <w:pPr>
        <w:spacing w:after="0" w:line="9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July 24, 2024, the Board adopted a new share repurchase plan authorizing the repurchase of up to $1,000.0 maximum value of the Company’s shares in addition to the remaining amount outstanding under the previous plan. At December 31, 2024, the Company had outstanding authorization from its Board to purchase up to $1,280.4 maximum value of Company Common Stock. The repurchase authorization has no expiration date.</w:t>
      </w:r>
    </w:p>
    <w:p>
      <w:pPr>
        <w:spacing w:after="0" w:line="9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2024, the Company paid $243.1 in Common Stock dividends. On January 8, 2025, the Company announced a cash dividend of $0.72 per share of Common Stock for the first quarter, or approximately $61.0 in the aggregate. The dividend will be payable on March 12, 2025, to stockholders of record of all issued and outstanding shares of Common Stock at the close of business on February 27, 2025. The declaration and payment of any future dividends will be at the discretion of the Company’s Board.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Information</w:t>
      </w:r>
    </w:p>
    <w:p>
      <w:pPr>
        <w:spacing w:after="0" w:line="13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In connection with the Reorganization, the Company, LCAH and the Trustee entered into a seventeenth supplemental indenture (the Seventeenth Supplemental Indenture) to the indenture, dated as of November 19, 2010, between LCAH and the Trustee (the 2010 Indenture). In addition, the Company, LCAH and the Trustee entered into the 2024 Indenture (the 2010 Indenture, together with the 2024 Indenture, the Indentures). The Seventeenth Supplemental Indenture, among other things, provides for the full and unconditional guarantee by the Company of LCAH’s obligations under the 2010 Indenture and each</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series of senior unsecured notes issued and outstanding thereunder, and the 2024 Indenture provides for the full and unconditional guarantee by the Company of LCAH’s obligations and each series of senior unsecured notes issued and outstanding, thereunder (collectively, the Labcorp Holdings Guarantees). Also, the Indentures permit the Company to satisfy LCAH’s reporting obligations so long as the Labcorp Holdings Guarantees remain in place and the Company’s financial statements and other information comply with the requirements of Rule 3-10 of Regulation S-X.</w:t>
      </w:r>
    </w:p>
    <w:p>
      <w:pPr>
        <w:spacing w:after="0" w:line="10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At December 31, 2024, there was $4,073.2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we have excluded the summarized financial information for LCAH because the assets, liabilities and results of operations of LCAH are not materially different than the corresponding amounts in the Company’s Consolidated Financial Statements and management believes such summarized financial information would be repetitive and would not provide incremental value to investors.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investment grade debt ratings from Moody’s and S&amp;P contribute to the Company’s ability to access capital markets.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77"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Company does not have any variable interest entities or special purpose entities whose financial results are not included in the Company’s Consolidated Financial Statements and the Company does not have any off-balance sheet financing other than normal, short-term leases and letters of credit.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7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has debt instruments outstanding. At December 31, 2024, the Company had total future payments of $6,373.9, with $1,000.4 payable within 12 months.</w:t>
      </w:r>
    </w:p>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has leases for patient service centers, laboratories and testing facilities, clinical facilities, general office spaces, vehicles, and office and laboratory equipment. At December 31, 2024, the Company had total future lease payments of $1,140.3, with $190.7 payable within 12 months.</w:t>
      </w:r>
    </w:p>
    <w:p>
      <w:pPr>
        <w:spacing w:after="0" w:line="8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At December 31, 2024, the Company had provided letters of credit aggregating approximately $102.7, primarily in connection with certain insurance programs which are renewed annually.</w:t>
      </w:r>
    </w:p>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contractual value of the noncontrolling interest put in the Company’s Ontario subsidiary totaled $14.3 and $15.5 at December 31, 2024, and 2023, respectively, and has been classified as mezzanine equity in the Company’s Consolidated Balance Sheets.</w:t>
      </w:r>
    </w:p>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3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78" w:lineRule="exact"/>
        <w:rPr>
          <w:sz w:val="20"/>
          <w:szCs w:val="20"/>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indefinite-lived assets;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contingencies.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Dx</w:t>
      </w:r>
    </w:p>
    <w:p>
      <w:pPr>
        <w:spacing w:after="0" w:line="6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Within the Dx segment, a revenue transaction is initiated when Dx receives a requisition form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The Dx segment also enters into lab management agreements which have monthly and non-testing-based fees which are recognized each month as the services are provided. Revenues are distributed among four payer portfolios —clients, patients, Medicare and Medicaid, and third party. Dx considers negotiated discounts and anticipated adjustments, including historical collection experience for the payer portfolio, when revenues are recorded.</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are descriptions of the Dx payer portfolios: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Clients</w:t>
      </w:r>
    </w:p>
    <w:p>
      <w:pPr>
        <w:spacing w:after="0" w:line="6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Client payers represent the portion of Dx’s revenue related to physicians, hospitals, health systems, accountable care organizations, employers, and other entities where payment is received exclusively from the entity ordering the testing service. Generally, client revenues are recorded on a fee-for-service basis at Dx’s client list price, less any negotiated discount. A portion of client billing is for laboratory management services, collection kits and other non-testing offerings. In these cases, revenue is recognized when services are rendered or delivered.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6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This portfolio includes revenue from uninsured patients and member cost-share for insured patients (e.g., coinsurance, deductibles, and non-covered services). Uninsured patients are billed based upon Dx’s patient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and Medicaid</w:t>
      </w:r>
    </w:p>
    <w:p>
      <w:pPr>
        <w:spacing w:after="0" w:line="62"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8"/>
          <w:szCs w:val="18"/>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Dx’s results of operations in any period presented</w:t>
      </w:r>
      <w:r>
        <w:rPr>
          <w:rFonts w:ascii="Times New Roman" w:cs="Times New Roman" w:eastAsia="Times New Roman" w:hAnsi="Times New Roman"/>
          <w:sz w:val="19"/>
          <w:szCs w:val="19"/>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Party</w:t>
      </w:r>
    </w:p>
    <w:p>
      <w:pPr>
        <w:spacing w:after="0" w:line="6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Third party includes revenue related to MCOs. The majority of Dx’s third-party revenue is reimbursed on a fee-for-service basis. These payers are billed at Dx’s established list price and revenue is recorded net of contractual discounts. The majority of Dx’s MCO revenues are recorded based upon contractually negotiated fee schedules with revenues for non-contracted MCOs recorded based on historical reimbursement experience.</w:t>
      </w:r>
    </w:p>
    <w:p>
      <w:pPr>
        <w:spacing w:after="0" w:line="8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Third-party reimbursement is also received through capitation agreements with MCOs and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9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Dx has a formal process to estimate implicit price concessions for uncollectable accounts. The majority of Dx’s collection risk is related to accounts receivable from both insured and uninsured patients who are unwilling or unable to pay. Anticipated write-offs are recorded as adjustments to revenue at an amount considered necessary to record the segment’s revenue at its net realizable value. In addition to contractual discounts, other adjustments including anticipated payer denials and other external factors that could affect the collectability of its receivables are considered when determining revenue and the net receivable amount. Any remaining adjustments to revenue are recorded at the time of final collection and settlement. These adjustments are not material to Dx’s results of operations in any period presented.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BLS</w:t>
      </w:r>
    </w:p>
    <w:p>
      <w:pPr>
        <w:spacing w:after="0" w:line="12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BLS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services to be provided. The majority of BLS’s contracts contain a single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obligation, as BLS provides a significant service of integrating all promises in the contract and the promises are highly interdependent and interrelated with one another. For contracts that include multiple performance obligations, BLS allocates the contract value to the goods and services based on a customer price list, if available. If a price list is not available, BLS will estimate the transaction price using either market prices or an “expected cost plus margin” approach. The total contract value is estimated at the beginning of the contract, and is equal to the amount expected to be billed to the customer. These contracts generally take the form of fixed-price or fee-for-service arrangements subject to pricing adjustments based on changes in scope.</w:t>
      </w:r>
    </w:p>
    <w:p>
      <w:pPr>
        <w:spacing w:after="0" w:line="7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costs, research model costs, and allocated overhead costs. The estimate of total costs expected to complete the contract requires significant judgment and these estimates are reviewed periodically. Any adjustments to these estimates are recognized on a cumulative catch-up basis in the period they become known.</w:t>
      </w:r>
    </w:p>
    <w:p>
      <w:pPr>
        <w:spacing w:after="0" w:line="8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Fee-for-service contracts are typically priced based on transaction volume or time and materials. For volume-based contracts, the contract value is entirely variable, and revenue is recognized as the specific service is completed. For services billed based on time and materials, revenue is recognized using the right to invoice practical expedient.</w:t>
      </w:r>
    </w:p>
    <w:p>
      <w:pPr>
        <w:spacing w:after="0" w:line="9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8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often require payment to BLS of expenses incurred and fees earned to date and, in some cases, a termination fee or a payment to BLS of some portion of the fees or profits that could have been earned by BLS under the contract if it had not been terminated early. Termination fees are included in revenues when services have been performed and realization is assured.</w:t>
      </w:r>
    </w:p>
    <w:p>
      <w:pPr>
        <w:spacing w:after="0" w:line="8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BLS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5 years, depending on the business. For businesses that enter into primarily short-term contracts, BLS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6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accounts for business combination transactions under the acquisition method of accounting and reports the results of operations of the acquired entities from its respective date of acquisition. Assets acquired are recorded at their estimated fair values as of the acquisition date. Estimated fair values are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The excess of the fair value of the consideration conveyed over the fair value of the assets acquired are recorded as goodwill. The goodwill reflects management’s expectations of the ability to gain access to the acquired entities’ historical patient base and the benefits of being able to leverage operational efficiencies with favorable growth opportunities based on positive industry and market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6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Provision for income taxes in the Consolidated Statements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7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 assets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9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offerings provided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05"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9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92" w:lineRule="exact"/>
        <w:rPr>
          <w:sz w:val="20"/>
          <w:szCs w:val="20"/>
          <w:color w:val="auto"/>
        </w:rPr>
      </w:pPr>
    </w:p>
    <w:p>
      <w:pPr>
        <w:ind w:left="640" w:hanging="313"/>
        <w:spacing w:after="0" w:line="258"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flows, on a debt-free basis, arising from future revenues and profitability, working capital changes, capital spending and income taxes for at least a five-year forecast period.</w:t>
      </w:r>
    </w:p>
    <w:p>
      <w:pPr>
        <w:ind w:left="640" w:hanging="313"/>
        <w:spacing w:after="0" w:line="247"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jc w:val="both"/>
        <w:ind w:left="640" w:hanging="313"/>
        <w:spacing w:after="0" w:line="250"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specific risk in achieving the prospective financial information.</w:t>
      </w:r>
    </w:p>
    <w:p>
      <w:pPr>
        <w:spacing w:after="0" w:line="10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8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performed its annual goodwill and indefinite-lived intangible asset impairment testing as of the beginning of the fourth quarter of 2024. The Company elected to perform a quantitative assessment for goodwill and indefinite-lived intangible assets for each of its reporting units. Based upon the results of the quantitative assessments, the Company concluded that the fair values of each of its reporting units, as of October 1, 2024, were greater than the carrying values.</w:t>
      </w:r>
    </w:p>
    <w:p>
      <w:pPr>
        <w:spacing w:after="0" w:line="8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continued efforts to maintain or improve the performance of these businesses could be impacted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the Company’s conclusions regarding impairment or recoverability of goodwill or indefinite-lived intangible assets in any reporting unit could change in future periods. There can be no assurance that the estimates and assumptions used in the Company’s goodwill and indefinite-lived intangible asset impairment testing performed as of the beginning of the fourth quarter of 2024 will prove to be accurate predictions of the future, if, for example, (i) the businesses do not perform as projected, (ii) overall economic conditions in 2024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earnings before interest, taxes, depreciation, and amortization.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44"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 Company is involved from time to time in various claims and legal actions, including arbitrations, class actions, and other litigation (including those described in more detail below), arising in the ordinary course of business. These matters include, but are not limited to, intellectual property disputes, commercial and contract disputes, professional liability claims, employee-related matters, transaction 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w:t>
      </w:r>
    </w:p>
    <w:p>
      <w:pPr>
        <w:spacing w:after="0" w:line="74"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 xml:space="preserve">The Company also is named from time to time in suits brought under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 Such claims are an inevitable part of doing business in the healthcare field today.</w:t>
      </w:r>
    </w:p>
    <w:p>
      <w:pPr>
        <w:spacing w:after="0" w:line="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105"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records an aggregate legal reserve, which is determined using calculations based on historical loss rates and assessment of trends experienced in settlements and defense costs. In accordance with Financial Accounting Standards Board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If the reasonable estimate of a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For more information about legal contingencies, see Note 15 Commitments and Contingencies to the Consolidated Financial Statements.</w:t>
      </w:r>
    </w:p>
    <w:p>
      <w:pPr>
        <w:spacing w:after="0" w:line="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 (dollar in millions)</w:t>
      </w:r>
    </w:p>
    <w:p>
      <w:pPr>
        <w:spacing w:after="0" w:line="13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3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Approximately 13.7% and 12.9% of the Company’s revenues for the year ended December 31, 2024, and 2023, respectively, were denominated in currencies other than the U.S. dollar (USD). The Company’s Consolidated Financial Statements are reported in USD and, accordingly, fluctuations in exchange rates will affect the translation of revenues and expenses denominated in foreign currencies into USD for purposes of reporting the Company’s consolidated financial results. In 2024 and 2023,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2024 by approximately $27.4. Accumulated currency translation adjustments recorded as a separate component of Shareholders’ equity were $(217.1) and $183.1 for the years ended December 31, 2024, and 2023, respectively. The Company does not have significant operations in countries in which the economy is considered to be highly inflationary.</w:t>
      </w:r>
    </w:p>
    <w:p>
      <w:pPr>
        <w:spacing w:after="0" w:line="110"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2024, the Company had 12 open foreign exchange forward contracts with various amounts maturing monthly through January 2025 with a notional value totaling approximately $302.4. At December 31, 2023, the Company had 9 open foreign exchange forward contracts with various amounts maturing monthly through January 2024 with a notional value totaling approximately $305.8.</w:t>
      </w:r>
    </w:p>
    <w:p>
      <w:pPr>
        <w:spacing w:after="0" w:line="8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is a party to USD to Swiss Franc cross-currency swap agreements with an aggregate notional amount of $1,200.0, $300.0 maturing in 2029, $300.0 maturing in 2031 and $600.0 maturing in 2034, as a hedge against the impact of foreign exchange movements on its net investment in a Swiss Franc functional currency subsidiary.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4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8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Borrowings under the Company’s term loan credit facilities and revolving credit facility are subject to variable interest rates, unless fixed through interest rate swaps or other agreements.</w:t>
      </w:r>
    </w:p>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London Interbank Offered Rate (LIBOR), which changed to Secured Overnight Financing Rate (SOFR) in 2023, plus 1.0706%.</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Consolidated Financial Statements of the Company required in this item are set forth beginning on page F-1 of this Annual Report on Form 10-K.</w:t>
      </w:r>
    </w:p>
    <w:p>
      <w:pPr>
        <w:spacing w:after="0" w:line="2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4"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Annual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7"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Exchange Act Rules 13a-15(f) and 15d-15(f)) during the quarter ended December 31, 2024, that have materially affected, or are reasonably likely to materially affect, the Company’s internal control over financial reporting.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Management on Internal Control over Financial Reporting</w:t>
      </w:r>
    </w:p>
    <w:p>
      <w:pPr>
        <w:spacing w:after="0" w:line="144"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69"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83" w:lineRule="exact"/>
        <w:rPr>
          <w:sz w:val="20"/>
          <w:szCs w:val="20"/>
          <w:color w:val="auto"/>
        </w:rPr>
      </w:pPr>
    </w:p>
    <w:p>
      <w:pPr>
        <w:ind w:left="640" w:hanging="313"/>
        <w:spacing w:after="0" w:line="25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ind w:left="640" w:hanging="313"/>
        <w:spacing w:after="0" w:line="247"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U.S.;</w:t>
      </w:r>
    </w:p>
    <w:p>
      <w:pPr>
        <w:ind w:left="640" w:hanging="313"/>
        <w:spacing w:after="0" w:line="247"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of the Company are being made only in accordance with authorization of management and directors of the Company; and</w:t>
      </w:r>
    </w:p>
    <w:p>
      <w:pPr>
        <w:ind w:left="640" w:hanging="313"/>
        <w:spacing w:after="0" w:line="25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Company’s Consolidated Financial Statements.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w:t>
      </w:r>
    </w:p>
    <w:p>
      <w:pPr>
        <w:spacing w:after="0" w:line="127"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2024.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2024, the Company maintained effective internal control over financial reporting. Management reviewed the results of its assessment with the Audit Committee of the Company’s Board.</w:t>
      </w:r>
    </w:p>
    <w:p>
      <w:pPr>
        <w:spacing w:after="0" w:line="92"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Deloitte and Touche LLP, an independent registered public accounting firm, who audited and reported on the Consolidated Financial Statements of the Company included in this Annual Report, also audited the effectiveness of the Company’s internal control over financial reporting as of December 31, 2024, as stated in its report, which is included herein immediately preceding the Company’s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4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the quarter ended December 31, 2024,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Number of Shares of</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Character of Trading</w:t>
            </w:r>
          </w:p>
        </w:tc>
        <w:tc>
          <w:tcPr>
            <w:tcW w:w="296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Common Stock to be (Sold)</w:t>
            </w:r>
          </w:p>
        </w:tc>
        <w:tc>
          <w:tcPr>
            <w:tcW w:w="0" w:type="dxa"/>
            <w:vAlign w:val="bottom"/>
          </w:tcPr>
          <w:p>
            <w:pPr>
              <w:spacing w:after="0"/>
              <w:rPr>
                <w:sz w:val="1"/>
                <w:szCs w:val="1"/>
                <w:color w:val="auto"/>
              </w:rPr>
            </w:pPr>
          </w:p>
        </w:tc>
      </w:tr>
      <w:tr>
        <w:trPr>
          <w:trHeight w:val="173"/>
        </w:trPr>
        <w:tc>
          <w:tcPr>
            <w:tcW w:w="30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 Adopted</w:t>
            </w:r>
          </w:p>
        </w:tc>
        <w:tc>
          <w:tcPr>
            <w:tcW w:w="2260" w:type="dxa"/>
            <w:vAlign w:val="bottom"/>
            <w:gridSpan w:val="2"/>
            <w:vMerge w:val="continue"/>
          </w:tcPr>
          <w:p>
            <w:pPr>
              <w:spacing w:after="0"/>
              <w:rPr>
                <w:sz w:val="15"/>
                <w:szCs w:val="15"/>
                <w:color w:val="auto"/>
              </w:rPr>
            </w:pPr>
          </w:p>
        </w:tc>
        <w:tc>
          <w:tcPr>
            <w:tcW w:w="296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Purchased Pursuant to Trading</w:t>
            </w:r>
          </w:p>
        </w:tc>
        <w:tc>
          <w:tcPr>
            <w:tcW w:w="0" w:type="dxa"/>
            <w:vAlign w:val="bottom"/>
          </w:tcPr>
          <w:p>
            <w:pPr>
              <w:spacing w:after="0"/>
              <w:rPr>
                <w:sz w:val="1"/>
                <w:szCs w:val="1"/>
                <w:color w:val="auto"/>
              </w:rPr>
            </w:pPr>
          </w:p>
        </w:tc>
      </w:tr>
      <w:tr>
        <w:trPr>
          <w:trHeight w:val="240"/>
        </w:trPr>
        <w:tc>
          <w:tcPr>
            <w:tcW w:w="308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180" w:type="dxa"/>
            <w:vAlign w:val="bottom"/>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00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Mark S. Schroeder</w:t>
            </w:r>
          </w:p>
        </w:tc>
        <w:tc>
          <w:tcPr>
            <w:tcW w:w="8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9"/>
              </w:rPr>
              <w:t>11/26/2024</w:t>
            </w:r>
          </w:p>
        </w:tc>
        <w:tc>
          <w:tcPr>
            <w:tcW w:w="120" w:type="dxa"/>
            <w:vAlign w:val="bottom"/>
          </w:tcPr>
          <w:p>
            <w:pPr>
              <w:spacing w:after="0"/>
              <w:rPr>
                <w:sz w:val="14"/>
                <w:szCs w:val="14"/>
                <w:color w:val="auto"/>
              </w:rPr>
            </w:pPr>
          </w:p>
        </w:tc>
        <w:tc>
          <w:tcPr>
            <w:tcW w:w="21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Rule 10b5-1 Trading</w:t>
            </w:r>
          </w:p>
        </w:tc>
        <w:tc>
          <w:tcPr>
            <w:tcW w:w="100" w:type="dxa"/>
            <w:vAlign w:val="bottom"/>
          </w:tcPr>
          <w:p>
            <w:pPr>
              <w:spacing w:after="0"/>
              <w:rPr>
                <w:sz w:val="14"/>
                <w:szCs w:val="14"/>
                <w:color w:val="auto"/>
              </w:rPr>
            </w:pPr>
          </w:p>
        </w:tc>
        <w:tc>
          <w:tcPr>
            <w:tcW w:w="2180" w:type="dxa"/>
            <w:vAlign w:val="bottom"/>
            <w:tcBorders>
              <w:top w:val="single" w:sz="8" w:color="auto"/>
            </w:tcBorders>
          </w:tcPr>
          <w:p>
            <w:pPr>
              <w:ind w:left="860"/>
              <w:spacing w:after="0" w:line="167" w:lineRule="exact"/>
              <w:rPr>
                <w:sz w:val="20"/>
                <w:szCs w:val="20"/>
                <w:color w:val="auto"/>
              </w:rPr>
            </w:pPr>
            <w:r>
              <w:rPr>
                <w:rFonts w:ascii="Times New Roman" w:cs="Times New Roman" w:eastAsia="Times New Roman" w:hAnsi="Times New Roman"/>
                <w:sz w:val="18"/>
                <w:szCs w:val="18"/>
                <w:color w:val="auto"/>
              </w:rPr>
              <w:t>Up to (10,115)</w:t>
            </w:r>
          </w:p>
        </w:tc>
        <w:tc>
          <w:tcPr>
            <w:tcW w:w="7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(1) (2)</w:t>
            </w: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Arrangement</w:t>
            </w:r>
          </w:p>
        </w:tc>
        <w:tc>
          <w:tcPr>
            <w:tcW w:w="2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0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i w:val="1"/>
                <w:iCs w:val="1"/>
                <w:color w:val="auto"/>
              </w:rPr>
              <w:t>President, Diagnostics Laboratories and</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Chief Operations Officer</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0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Amy B. Summy</w:t>
            </w: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11/26/2024</w:t>
            </w:r>
          </w:p>
        </w:tc>
        <w:tc>
          <w:tcPr>
            <w:tcW w:w="120" w:type="dxa"/>
            <w:vAlign w:val="bottom"/>
          </w:tcPr>
          <w:p>
            <w:pPr>
              <w:spacing w:after="0"/>
              <w:rPr>
                <w:sz w:val="15"/>
                <w:szCs w:val="15"/>
                <w:color w:val="auto"/>
              </w:rPr>
            </w:pPr>
          </w:p>
        </w:tc>
        <w:tc>
          <w:tcPr>
            <w:tcW w:w="226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7"/>
              </w:rPr>
              <w:t>Rule 10b5-1 Trading</w:t>
            </w:r>
          </w:p>
        </w:tc>
        <w:tc>
          <w:tcPr>
            <w:tcW w:w="2180" w:type="dxa"/>
            <w:vAlign w:val="bottom"/>
          </w:tcPr>
          <w:p>
            <w:pPr>
              <w:ind w:left="860"/>
              <w:spacing w:after="0" w:line="178" w:lineRule="exact"/>
              <w:rPr>
                <w:sz w:val="20"/>
                <w:szCs w:val="20"/>
                <w:color w:val="auto"/>
              </w:rPr>
            </w:pPr>
            <w:r>
              <w:rPr>
                <w:rFonts w:ascii="Times New Roman" w:cs="Times New Roman" w:eastAsia="Times New Roman" w:hAnsi="Times New Roman"/>
                <w:sz w:val="18"/>
                <w:szCs w:val="18"/>
                <w:color w:val="auto"/>
              </w:rPr>
              <w:t>Up to (1,234)</w:t>
            </w:r>
          </w:p>
        </w:tc>
        <w:tc>
          <w:tcPr>
            <w:tcW w:w="7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Arrangement</w:t>
            </w:r>
          </w:p>
        </w:tc>
        <w:tc>
          <w:tcPr>
            <w:tcW w:w="2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-257175</wp:posOffset>
            </wp:positionV>
            <wp:extent cx="7134225" cy="262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262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-765175</wp:posOffset>
            </wp:positionV>
            <wp:extent cx="7134225" cy="271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271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i w:val="1"/>
          <w:iCs w:val="1"/>
          <w:color w:val="auto"/>
        </w:rPr>
        <w:t>Chief Marketing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80" w:firstLine="1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Duration </w:t>
      </w:r>
      <w:r>
        <w:rPr>
          <w:rFonts w:ascii="Times New Roman" w:cs="Times New Roman" w:eastAsia="Times New Roman" w:hAnsi="Times New Roman"/>
          <w:sz w:val="18"/>
          <w:szCs w:val="18"/>
          <w:color w:val="auto"/>
        </w:rPr>
        <w:t xml:space="preserve">11/7/2025 </w:t>
      </w:r>
      <w:r>
        <w:rPr>
          <w:rFonts w:ascii="Times New Roman" w:cs="Times New Roman" w:eastAsia="Times New Roman" w:hAnsi="Times New Roman"/>
          <w:sz w:val="23"/>
          <w:szCs w:val="23"/>
          <w:color w:val="auto"/>
          <w:vertAlign w:val="superscript"/>
        </w:rPr>
        <w:t>(3)</w:t>
      </w:r>
    </w:p>
    <w:p>
      <w:pPr>
        <w:spacing w:after="0" w:line="200" w:lineRule="exact"/>
        <w:rPr>
          <w:sz w:val="20"/>
          <w:szCs w:val="20"/>
          <w:color w:val="auto"/>
        </w:rPr>
      </w:pPr>
    </w:p>
    <w:p>
      <w:pPr>
        <w:spacing w:after="0" w:line="2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11/14/2025</w:t>
      </w:r>
      <w:r>
        <w:rPr>
          <w:sz w:val="20"/>
          <w:szCs w:val="20"/>
          <w:color w:val="auto"/>
        </w:rPr>
        <w:tab/>
      </w:r>
      <w:r>
        <w:rPr>
          <w:rFonts w:ascii="Times New Roman" w:cs="Times New Roman" w:eastAsia="Times New Roman" w:hAnsi="Times New Roman"/>
          <w:sz w:val="18"/>
          <w:szCs w:val="18"/>
          <w:color w:val="auto"/>
          <w:vertAlign w:val="superscript"/>
        </w:rPr>
        <w:t>(3)</w:t>
      </w:r>
    </w:p>
    <w:p>
      <w:pPr>
        <w:spacing w:after="0" w:line="503" w:lineRule="exact"/>
        <w:rPr>
          <w:sz w:val="20"/>
          <w:szCs w:val="20"/>
          <w:color w:val="auto"/>
        </w:rPr>
      </w:pPr>
    </w:p>
    <w:p>
      <w:pPr>
        <w:sectPr>
          <w:pgSz w:w="11900" w:h="16838" w:orient="portrait"/>
          <w:cols w:equalWidth="0" w:num="2">
            <w:col w:w="9700" w:space="240"/>
            <w:col w:w="1300"/>
          </w:cols>
          <w:pgMar w:left="320" w:top="121" w:right="339" w:bottom="1440" w:gutter="0" w:footer="0" w:header="0"/>
          <w:type w:val="continuous"/>
        </w:sectPr>
      </w:pPr>
    </w:p>
    <w:p>
      <w:pPr>
        <w:ind w:left="240" w:right="20" w:hanging="233"/>
        <w:spacing w:after="0" w:line="227" w:lineRule="auto"/>
        <w:tabs>
          <w:tab w:leader="none" w:pos="2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 presented represents the shares to be sold on the vesting of equity awards and may vary subject to the achievement of certain performance conditions and/or shares to be withheld for tax purposes.</w:t>
      </w:r>
    </w:p>
    <w:p>
      <w:pPr>
        <w:ind w:left="240" w:hanging="233"/>
        <w:spacing w:after="0" w:line="217" w:lineRule="auto"/>
        <w:tabs>
          <w:tab w:leader="none" w:pos="2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Schroeder’s plan provides for the exercise of vested stock options and the associated sale of up to 3,903 shares of the Company’s Common Stock and 76 shares of Common Stock previously acquired from an equity award vesting event.</w:t>
      </w:r>
    </w:p>
    <w:p>
      <w:pPr>
        <w:ind w:left="240" w:hanging="233"/>
        <w:spacing w:after="0" w:line="217" w:lineRule="auto"/>
        <w:tabs>
          <w:tab w:leader="none" w:pos="2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trading arrangement permits transactions through and including the earlier to occur of (a) the completion of all sales on the respective order entry date or (b) the date listed in the table.</w:t>
      </w:r>
    </w:p>
    <w:p>
      <w:pPr>
        <w:spacing w:after="0" w:line="2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3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information required by the item regarding directors is incorporated by reference to the Company’s Definitive Proxy Statement to be filed with the Securities and Exchange Commission in connection with the Annual Meeting of Stockholders to be held in 2025 (2025 Proxy Statement) under the caption Election of Directors. Information regarding executive officers is incorporated by reference to the Company’s 2025 Proxy Statement under the caption Executive Officers. Information concerning the Company’s Audit Committee, including the designation of audit committee financial experts is incorporated by reference to the Company’s 2025 Proxy Statement under the captions Corporate Governance and Delinquent Section 16(a) Reports, respectively. Information concerning the Company’s code of ethics is incorporated by reference to the Company’s 2025 Proxy Statement under the caption Corporate Governance Policies and Procedures.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11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is committed to promoting high standards of ethical business conduct and compliance with applicable laws, rules and regulations. As part of this commitment, the Company has adopted the Insider Trading Policy governing the purchase, sale, and/or other dispositions of its securities by the Company’s directors, officers, employees and designated contractors, as well as by Labcorp Holdings Inc. itself, that the Company believes is reasonably designed to promote compliance with insider trading laws, rules and regulations, and the exchange listing standards applicable to us. A copy of our insider trading policy is filed as Exhibit 19.1 to this Form 10-K.</w:t>
      </w:r>
    </w:p>
    <w:p>
      <w:pPr>
        <w:spacing w:after="0" w:line="20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44" w:lineRule="exact"/>
        <w:rPr>
          <w:sz w:val="20"/>
          <w:szCs w:val="20"/>
          <w:color w:val="auto"/>
        </w:rPr>
      </w:pPr>
    </w:p>
    <w:p>
      <w:pPr>
        <w:jc w:val="both"/>
        <w:ind w:right="20" w:firstLine="2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2025 Proxy Statement under the captions “Executive Compensation” and “Director Compensation.”</w:t>
      </w:r>
    </w:p>
    <w:p>
      <w:pPr>
        <w:spacing w:after="0" w:line="185" w:lineRule="exact"/>
        <w:rPr>
          <w:sz w:val="20"/>
          <w:szCs w:val="20"/>
          <w:color w:val="auto"/>
        </w:rPr>
      </w:pPr>
    </w:p>
    <w:p>
      <w:pPr>
        <w:ind w:left="800" w:right="660" w:hanging="1280"/>
        <w:spacing w:after="0" w:line="281"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66"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See Note 14 Stock Compensation Plans to the Consolidated Financial Statements for a discussion of the Company’s stock compensation plans. Except for the above referenced footnote, the information called for by this item is incorporated by reference to information in the 2025 Proxy Statement under the captions “Security Ownership of Certain Beneficial Holders and Management,” “Compensation Discussion &amp; Analysis” and “Executive Compensation.”</w:t>
      </w:r>
    </w:p>
    <w:p>
      <w:pPr>
        <w:spacing w:after="0" w:line="19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31"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2025 Proxy Statement under the captions “Board Independence” and “Related Party Transactions.”</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44"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2025 Proxy Statement under the caption “Fees to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1" w:lineRule="exact"/>
        <w:rPr>
          <w:sz w:val="20"/>
          <w:szCs w:val="20"/>
          <w:color w:val="auto"/>
        </w:rPr>
      </w:pPr>
    </w:p>
    <w:p>
      <w:pPr>
        <w:ind w:left="240" w:hanging="233"/>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Annual Report:</w:t>
      </w:r>
    </w:p>
    <w:p>
      <w:pPr>
        <w:spacing w:after="0" w:line="139" w:lineRule="exact"/>
        <w:rPr>
          <w:rFonts w:ascii="Times New Roman" w:cs="Times New Roman" w:eastAsia="Times New Roman" w:hAnsi="Times New Roman"/>
          <w:sz w:val="18"/>
          <w:szCs w:val="18"/>
          <w:color w:val="auto"/>
        </w:rPr>
      </w:pPr>
    </w:p>
    <w:p>
      <w:pPr>
        <w:ind w:left="620" w:right="2420" w:hanging="596"/>
        <w:spacing w:after="0" w:line="324" w:lineRule="auto"/>
        <w:tabs>
          <w:tab w:leader="none" w:pos="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 Report of Independent Registered Public Accounting Firm included herein: See Index on page F-1</w:t>
      </w:r>
    </w:p>
    <w:p>
      <w:pPr>
        <w:spacing w:after="0" w:line="1" w:lineRule="exact"/>
        <w:rPr>
          <w:rFonts w:ascii="Times New Roman" w:cs="Times New Roman" w:eastAsia="Times New Roman" w:hAnsi="Times New Roman"/>
          <w:sz w:val="18"/>
          <w:szCs w:val="18"/>
          <w:color w:val="auto"/>
        </w:rPr>
      </w:pPr>
    </w:p>
    <w:p>
      <w:pPr>
        <w:ind w:left="620" w:hanging="596"/>
        <w:spacing w:after="0"/>
        <w:tabs>
          <w:tab w:leader="none" w:pos="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73" w:lineRule="exact"/>
        <w:rPr>
          <w:rFonts w:ascii="Times New Roman" w:cs="Times New Roman" w:eastAsia="Times New Roman" w:hAnsi="Times New Roman"/>
          <w:sz w:val="18"/>
          <w:szCs w:val="18"/>
          <w:color w:val="auto"/>
        </w:rPr>
      </w:pPr>
    </w:p>
    <w:p>
      <w:pPr>
        <w:ind w:left="620" w:right="1400"/>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as they are inapplicable or the required information is furnished in the Consolidated Financial Statements or notes thereto.</w:t>
      </w:r>
    </w:p>
    <w:p>
      <w:pPr>
        <w:spacing w:after="0" w:line="61" w:lineRule="exact"/>
        <w:rPr>
          <w:rFonts w:ascii="Times New Roman" w:cs="Times New Roman" w:eastAsia="Times New Roman" w:hAnsi="Times New Roman"/>
          <w:sz w:val="18"/>
          <w:szCs w:val="18"/>
          <w:color w:val="auto"/>
        </w:rPr>
      </w:pPr>
    </w:p>
    <w:p>
      <w:pPr>
        <w:ind w:left="620" w:hanging="596"/>
        <w:spacing w:after="0"/>
        <w:tabs>
          <w:tab w:leader="none" w:pos="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and List of Exhibits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Separation and Distribution Agreement, dated June 29, 2023, by and between Laboratory Corporation of America Holdings and Fortrea</w:t>
              </w:r>
            </w:hyperlink>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9420" w:type="dxa"/>
            <w:vAlign w:val="bottom"/>
            <w:tcBorders>
              <w:top w:val="single" w:sz="8" w:color="0000FF"/>
              <w:bottom w:val="single" w:sz="8" w:color="0000FF"/>
            </w:tcBorders>
            <w:gridSpan w:val="15"/>
          </w:tcPr>
          <w:p>
            <w:pPr>
              <w:spacing w:after="0" w:line="167" w:lineRule="exact"/>
              <w:rPr>
                <w:rFonts w:ascii="Times New Roman" w:cs="Times New Roman" w:eastAsia="Times New Roman" w:hAnsi="Times New Roman"/>
                <w:sz w:val="18"/>
                <w:szCs w:val="18"/>
                <w:color w:val="0000FF"/>
                <w:w w:val="98"/>
              </w:rPr>
            </w:pPr>
            <w:hyperlink r:id="rId85">
              <w:r>
                <w:rPr>
                  <w:rFonts w:ascii="Times New Roman" w:cs="Times New Roman" w:eastAsia="Times New Roman" w:hAnsi="Times New Roman"/>
                  <w:sz w:val="18"/>
                  <w:szCs w:val="18"/>
                  <w:color w:val="0000FF"/>
                  <w:w w:val="98"/>
                </w:rPr>
                <w:t>Holdings Inc. (incorporated herein by reference to Exhibit 2.1 to the Company’s Current Report on Form 8-K filed on July 3, 2023).</w:t>
              </w:r>
            </w:hyperlink>
          </w:p>
        </w:tc>
        <w:tc>
          <w:tcPr>
            <w:tcW w:w="240" w:type="dxa"/>
            <w:vAlign w:val="bottom"/>
            <w:tcBorders>
              <w:top w:val="single" w:sz="8" w:color="0000FF"/>
            </w:tcBorders>
            <w:gridSpan w:val="3"/>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Agreement and Plan of Merger, dated May 17, 2024, by and among Laboratory Corporation of America Holdings, Labcorp Holdings Inc.</w:t>
              </w:r>
            </w:hyperlink>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9800" w:type="dxa"/>
            <w:vAlign w:val="bottom"/>
            <w:tcBorders>
              <w:top w:val="single" w:sz="8" w:color="0000FF"/>
            </w:tcBorders>
            <w:gridSpan w:val="21"/>
          </w:tcPr>
          <w:p>
            <w:pPr>
              <w:spacing w:after="0" w:line="167"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and Radiance Merger Sub Inc. (incorporated by reference to Exhibit 2.1 to the Company’s Current Report on Form 8-K filed on May 17,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2024)</w:t>
              </w:r>
            </w:hyperlink>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Amended and Restated Certificate of Incorporation of Labcorp Holdings Inc. (incorporated by reference to Exhibit 3.1 to the Company’s</w:t>
              </w:r>
            </w:hyperlink>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974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Current Report on Form 8-K12B filed on May 17, 2024).</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By-Laws of Labcorp Holdings Inc. (incorporated by reference to Exhibit 3.2 to the Company’s Current Report on</w:t>
              </w:r>
            </w:hyperlink>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9780" w:type="dxa"/>
            <w:vAlign w:val="bottom"/>
            <w:tcBorders>
              <w:top w:val="single" w:sz="8" w:color="0000FF"/>
            </w:tcBorders>
            <w:gridSpan w:val="20"/>
          </w:tcPr>
          <w:p>
            <w:pPr>
              <w:spacing w:after="0" w:line="167"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8-K filed on May 17, 2024).</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Indenture, dated as of November 19, 2010, between the Company and U.S. Bank National Association, as trustee (incorporated herein by</w:t>
              </w:r>
            </w:hyperlink>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7240" w:type="dxa"/>
            <w:vAlign w:val="bottom"/>
            <w:tcBorders>
              <w:top w:val="single" w:sz="8" w:color="0000FF"/>
              <w:bottom w:val="single" w:sz="8" w:color="0000FF"/>
            </w:tcBorders>
            <w:gridSpan w:val="12"/>
          </w:tcPr>
          <w:p>
            <w:pPr>
              <w:spacing w:after="0" w:line="167" w:lineRule="exact"/>
              <w:rPr>
                <w:rFonts w:ascii="Times New Roman" w:cs="Times New Roman" w:eastAsia="Times New Roman" w:hAnsi="Times New Roman"/>
                <w:sz w:val="18"/>
                <w:szCs w:val="18"/>
                <w:color w:val="0000FF"/>
                <w:w w:val="98"/>
              </w:rPr>
            </w:pPr>
            <w:hyperlink r:id="rId89">
              <w:r>
                <w:rPr>
                  <w:rFonts w:ascii="Times New Roman" w:cs="Times New Roman" w:eastAsia="Times New Roman" w:hAnsi="Times New Roman"/>
                  <w:sz w:val="18"/>
                  <w:szCs w:val="18"/>
                  <w:color w:val="0000FF"/>
                  <w:w w:val="98"/>
                </w:rPr>
                <w:t>reference to Exhibit 4.1 to the Company’s Current Report on Form 8-K filed on November 19, 2010).</w:t>
              </w:r>
            </w:hyperlink>
          </w:p>
        </w:tc>
        <w:tc>
          <w:tcPr>
            <w:tcW w:w="2540" w:type="dxa"/>
            <w:vAlign w:val="bottom"/>
            <w:tcBorders>
              <w:top w:val="single" w:sz="8" w:color="0000FF"/>
            </w:tcBorders>
            <w:gridSpan w:val="8"/>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4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Ninth Supplemental Indenture, dated as of January 30, 2015, between the Company and U.S. Bank National Association, as trustee,</w:t>
              </w:r>
            </w:hyperlink>
          </w:p>
        </w:tc>
        <w:tc>
          <w:tcPr>
            <w:tcW w:w="7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0140" w:type="dxa"/>
            <w:vAlign w:val="bottom"/>
            <w:gridSpan w:val="29"/>
          </w:tcPr>
          <w:p>
            <w:pPr>
              <w:spacing w:after="0" w:line="167"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including the form of the 2025 Notes (incorporated herein by reference to Exhibit 4.4 to the Company’s Current Report on Form 8-K filed</w:t>
              </w:r>
            </w:hyperlink>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on January 30, 2015).</w:t>
              </w:r>
            </w:hyperlink>
          </w:p>
        </w:tc>
        <w:tc>
          <w:tcPr>
            <w:tcW w:w="8300" w:type="dxa"/>
            <w:vAlign w:val="bottom"/>
            <w:tcBorders>
              <w:top w:val="single" w:sz="8" w:color="0000FF"/>
            </w:tcBorders>
            <w:gridSpan w:val="18"/>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Tenth Supplemental Indenture, dated as of January 30, 2015, between the Company and U.S. Bank National Association, as trustee,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tcPr>
          <w:p>
            <w:pPr>
              <w:spacing w:after="0"/>
              <w:rPr>
                <w:sz w:val="14"/>
                <w:szCs w:val="14"/>
                <w:color w:val="auto"/>
              </w:rPr>
            </w:pPr>
          </w:p>
        </w:tc>
        <w:tc>
          <w:tcPr>
            <w:tcW w:w="10140" w:type="dxa"/>
            <w:vAlign w:val="bottom"/>
            <w:gridSpan w:val="29"/>
          </w:tcPr>
          <w:p>
            <w:pPr>
              <w:spacing w:after="0" w:line="167"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including the form of the 2045 Notes (incorporated herein by reference to Exhibit 4.5 to the Company’s Current Report on Form 8-K filed</w:t>
              </w:r>
            </w:hyperlink>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on January 30, 2015).</w:t>
              </w:r>
            </w:hyperlink>
          </w:p>
        </w:tc>
        <w:tc>
          <w:tcPr>
            <w:tcW w:w="8300" w:type="dxa"/>
            <w:vAlign w:val="bottom"/>
            <w:tcBorders>
              <w:top w:val="single" w:sz="8" w:color="0000FF"/>
            </w:tcBorders>
            <w:gridSpan w:val="18"/>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5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8"/>
              </w:rPr>
            </w:pPr>
            <w:hyperlink r:id="rId92">
              <w:r>
                <w:rPr>
                  <w:rFonts w:ascii="Times New Roman" w:cs="Times New Roman" w:eastAsia="Times New Roman" w:hAnsi="Times New Roman"/>
                  <w:sz w:val="18"/>
                  <w:szCs w:val="18"/>
                  <w:color w:val="0000FF"/>
                  <w:w w:val="98"/>
                </w:rPr>
                <w:t>Twelfth Supplemental Indenture, dated as of August 22, 2017, between the Company and U.S. Bank National Association, as trustee,</w:t>
              </w:r>
            </w:hyperlink>
          </w:p>
        </w:tc>
        <w:tc>
          <w:tcPr>
            <w:tcW w:w="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0140" w:type="dxa"/>
            <w:vAlign w:val="bottom"/>
            <w:gridSpan w:val="29"/>
          </w:tcPr>
          <w:p>
            <w:pPr>
              <w:spacing w:after="0" w:line="167"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including the form of the 2027 Notes (incorporated by reference to Exhibit 4.3 to the Company’s Current Report on Form 8-K filed on</w:t>
              </w:r>
            </w:hyperlink>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958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August 22, 2017).</w:t>
              </w:r>
            </w:hyperlink>
          </w:p>
        </w:tc>
        <w:tc>
          <w:tcPr>
            <w:tcW w:w="260" w:type="dxa"/>
            <w:vAlign w:val="bottom"/>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Fourteenth Supplemental Indenture, dated as of November 25, 2019, between the Company and U.S. Bank National Association, as trustee,</w:t>
              </w:r>
            </w:hyperlink>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0100" w:type="dxa"/>
            <w:vAlign w:val="bottom"/>
            <w:tcBorders>
              <w:top w:val="single" w:sz="8" w:color="0000FF"/>
            </w:tcBorders>
            <w:gridSpan w:val="27"/>
          </w:tcPr>
          <w:p>
            <w:pPr>
              <w:spacing w:after="0" w:line="167"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including the form of the 2029 Notes (incorporated herein by reference to Exhibit 4.3 to the Company’s Current Report on Form 8-K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008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on November 25,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4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94">
              <w:r>
                <w:rPr>
                  <w:rFonts w:ascii="Times New Roman" w:cs="Times New Roman" w:eastAsia="Times New Roman" w:hAnsi="Times New Roman"/>
                  <w:sz w:val="18"/>
                  <w:szCs w:val="18"/>
                  <w:color w:val="0000FF"/>
                  <w:w w:val="98"/>
                </w:rPr>
                <w:t>Fifteenth Supplemental Indenture, dated as of May 26, 2021, between the Company and U.S. Bank National Association, as trustee,</w:t>
              </w:r>
            </w:hyperlink>
          </w:p>
        </w:tc>
        <w:tc>
          <w:tcPr>
            <w:tcW w:w="7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0140" w:type="dxa"/>
            <w:vAlign w:val="bottom"/>
            <w:gridSpan w:val="29"/>
          </w:tcPr>
          <w:p>
            <w:pPr>
              <w:spacing w:after="0" w:line="167"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including the form of the 2026 Notes (incorporated herein by reference to Exhibit 4.2 to the Company’s Current Report on Form 8-K filed</w:t>
              </w:r>
            </w:hyperlink>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on May 26, 2021).</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Sixteenth Supplemental Indenture, dated as of May 26, 2021, between the Company and U.S. Bank National Association, as trustee,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900" w:type="dxa"/>
            <w:vAlign w:val="bottom"/>
            <w:gridSpan w:val="7"/>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tcPr>
          <w:p>
            <w:pPr>
              <w:spacing w:after="0"/>
              <w:rPr>
                <w:sz w:val="14"/>
                <w:szCs w:val="14"/>
                <w:color w:val="auto"/>
              </w:rPr>
            </w:pPr>
          </w:p>
        </w:tc>
        <w:tc>
          <w:tcPr>
            <w:tcW w:w="10140" w:type="dxa"/>
            <w:vAlign w:val="bottom"/>
            <w:gridSpan w:val="29"/>
          </w:tcPr>
          <w:p>
            <w:pPr>
              <w:spacing w:after="0" w:line="167"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including the form of the 2031 Notes (incorporated herein by reference to Exhibit 4.3 to the Company’s Current Report on Form 8-K filed</w:t>
              </w:r>
            </w:hyperlink>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on May 26, 2021).</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9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Seventeenth Supplemental Indenture dated as of May 17, 2024, by and among Laboratory Corporation of America Holdings, as issuer,</w:t>
              </w:r>
            </w:hyperlink>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0120" w:type="dxa"/>
            <w:vAlign w:val="bottom"/>
            <w:tcBorders>
              <w:top w:val="single" w:sz="8" w:color="0000FF"/>
            </w:tcBorders>
            <w:gridSpan w:val="28"/>
          </w:tcPr>
          <w:p>
            <w:pPr>
              <w:spacing w:after="0" w:line="167"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Labcorp Holdings Inc., as guarantor, and U.S. Bank National Trust Company Association, as trustee (incorporated by reference to Exhibit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the Company’s Current Report on Form 8-K filed on May 17, 2024).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900" w:type="dxa"/>
            <w:vAlign w:val="bottom"/>
            <w:gridSpan w:val="7"/>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9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140" w:type="dxa"/>
            <w:vAlign w:val="bottom"/>
            <w:gridSpan w:val="29"/>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Description of the Registrant’s securities registered pursuant to Section 12 of the Securities Exchange Act of 1934 (incorporated by</w:t>
              </w:r>
            </w:hyperlink>
          </w:p>
        </w:tc>
        <w:tc>
          <w:tcPr>
            <w:tcW w:w="0" w:type="dxa"/>
            <w:vAlign w:val="bottom"/>
          </w:tcPr>
          <w:p>
            <w:pPr>
              <w:spacing w:after="0"/>
              <w:rPr>
                <w:sz w:val="1"/>
                <w:szCs w:val="1"/>
                <w:color w:val="auto"/>
              </w:rPr>
            </w:pPr>
          </w:p>
        </w:tc>
      </w:tr>
      <w:tr>
        <w:trPr>
          <w:trHeight w:val="167"/>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4.10</w:t>
            </w:r>
          </w:p>
        </w:tc>
        <w:tc>
          <w:tcPr>
            <w:tcW w:w="10120" w:type="dxa"/>
            <w:vAlign w:val="bottom"/>
            <w:tcBorders>
              <w:top w:val="single" w:sz="8" w:color="0000FF"/>
            </w:tcBorders>
            <w:gridSpan w:val="28"/>
          </w:tcPr>
          <w:p>
            <w:pPr>
              <w:spacing w:after="0" w:line="167"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reference to Exhibit 4.1 to the Company’s Current Report on Form 8-K12B filed on May 17, 2024).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900" w:type="dxa"/>
            <w:vAlign w:val="bottom"/>
            <w:gridSpan w:val="7"/>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9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60" w:type="dxa"/>
            <w:vAlign w:val="bottom"/>
            <w:vMerge w:val="continue"/>
          </w:tcPr>
          <w:p>
            <w:pPr>
              <w:spacing w:after="0"/>
              <w:rPr>
                <w:sz w:val="19"/>
                <w:szCs w:val="19"/>
                <w:color w:val="auto"/>
              </w:rPr>
            </w:pPr>
          </w:p>
        </w:tc>
        <w:tc>
          <w:tcPr>
            <w:tcW w:w="100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New Holding Company Guarantee, dated May 17, 2024, by Labcorp Holdings Inc. (incorporated by reference to Exhibit 4.3 to the</w:t>
              </w:r>
            </w:hyperlink>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4640" w:type="dxa"/>
            <w:vAlign w:val="bottom"/>
            <w:tcBorders>
              <w:bottom w:val="single" w:sz="8" w:color="0000FF"/>
            </w:tcBorders>
            <w:gridSpan w:val="9"/>
          </w:tcPr>
          <w:p>
            <w:pPr>
              <w:spacing w:after="0" w:line="194" w:lineRule="exact"/>
              <w:rPr>
                <w:rFonts w:ascii="Times New Roman" w:cs="Times New Roman" w:eastAsia="Times New Roman" w:hAnsi="Times New Roman"/>
                <w:sz w:val="18"/>
                <w:szCs w:val="18"/>
                <w:color w:val="0000FF"/>
                <w:w w:val="98"/>
              </w:rPr>
            </w:pPr>
            <w:hyperlink r:id="rId99">
              <w:r>
                <w:rPr>
                  <w:rFonts w:ascii="Times New Roman" w:cs="Times New Roman" w:eastAsia="Times New Roman" w:hAnsi="Times New Roman"/>
                  <w:sz w:val="18"/>
                  <w:szCs w:val="18"/>
                  <w:color w:val="0000FF"/>
                  <w:w w:val="98"/>
                </w:rPr>
                <w:t>Company’s Current Report on Form 8-K filed on May 17, 2024).</w:t>
              </w:r>
            </w:hyperlink>
          </w:p>
        </w:tc>
        <w:tc>
          <w:tcPr>
            <w:tcW w:w="550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140" w:type="dxa"/>
            <w:vAlign w:val="bottom"/>
            <w:gridSpan w:val="29"/>
          </w:tcPr>
          <w:p>
            <w:pPr>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Indenture, dated as of September 23, 2024, between Laboratory Corporation of America Holdings, as issuer, and U.S. Bank Trust Company,</w:t>
              </w:r>
            </w:hyperlink>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0060" w:type="dxa"/>
            <w:vAlign w:val="bottom"/>
            <w:tcBorders>
              <w:top w:val="single" w:sz="8" w:color="0000FF"/>
            </w:tcBorders>
            <w:gridSpan w:val="25"/>
          </w:tcPr>
          <w:p>
            <w:pPr>
              <w:spacing w:after="0" w:line="167"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National Association, as trustee (incorporated by reference to Exhibit 4.1 to the Company’s Current Report on Form 8-K filed on September</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23, 2024).</w:t>
              </w:r>
            </w:hyperlink>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4"/>
        </w:trPr>
        <w:tc>
          <w:tcPr>
            <w:tcW w:w="4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760" w:type="dxa"/>
            <w:vAlign w:val="bottom"/>
          </w:tcPr>
          <w:p>
            <w:pPr>
              <w:spacing w:after="0"/>
              <w:rPr>
                <w:sz w:val="24"/>
                <w:szCs w:val="24"/>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First Supplemental Indenture, dated as of September 23, 2024, among Laboratory Corporation of America Holdings, as issuer, Labcorp</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4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Holdings Inc., as guarantor, and U.S. Bank Trust Company, National Association, as trustee, including the form of the 2030 Notes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2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(incorporated by reference to Exhibit 4.2 to the Company’s Current Report on Form 8-K filed on September 23,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Second Supplemental Indenture, dated as of September 23, 2024, among Laboratory Corporation of America Holdings, as issuer, Labcorp</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6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Holdings Inc., as guarantor, and U.S. Bank Trust Company, National Association, as trustee, including the form of the 2032 Notes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2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(incorporated by reference to Exhibit 4.3 to the Company’s Current Report on Form 8-K filed on September 23,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Third Supplemental Indenture, dated as of September 23, 2024, among Laboratory Corporation of America Holdings, as issuer, Labcorp</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8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Holdings Inc., as guarantor, and U.S. Bank Trust Company, National Association, as trustee, including the form of the 2034 Notes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2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(incorporated by reference to Exhibit 4.4 to the Company’s Current Report on Form 8-K filed on September 23,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ind w:left="20"/>
              <w:spacing w:after="0" w:line="240" w:lineRule="exact"/>
              <w:rPr>
                <w:sz w:val="20"/>
                <w:szCs w:val="20"/>
                <w:color w:val="auto"/>
              </w:rPr>
            </w:pPr>
            <w:r>
              <w:rPr>
                <w:rFonts w:ascii="Times New Roman" w:cs="Times New Roman" w:eastAsia="Times New Roman" w:hAnsi="Times New Roman"/>
                <w:sz w:val="18"/>
                <w:szCs w:val="18"/>
                <w:color w:val="auto"/>
                <w:w w:val="94"/>
              </w:rPr>
              <w:t>10.1</w:t>
            </w:r>
            <w:r>
              <w:rPr>
                <w:rFonts w:ascii="Times New Roman" w:cs="Times New Roman" w:eastAsia="Times New Roman" w:hAnsi="Times New Roman"/>
                <w:sz w:val="23"/>
                <w:szCs w:val="23"/>
                <w:color w:val="auto"/>
                <w:w w:val="94"/>
                <w:vertAlign w:val="superscript"/>
              </w:rPr>
              <w:t>+</w:t>
            </w:r>
          </w:p>
        </w:tc>
        <w:tc>
          <w:tcPr>
            <w:tcW w:w="7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Labcorp Holdings Inc. Amended and Restated 2016 Omnibus Incentive Plan (incorporated by reference to Exhibit 10.4 to the Company’s</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36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Current Report on Form 8-K12B filed on May 17,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ind w:left="20"/>
              <w:spacing w:after="0" w:line="240" w:lineRule="exact"/>
              <w:rPr>
                <w:sz w:val="20"/>
                <w:szCs w:val="20"/>
                <w:color w:val="auto"/>
              </w:rPr>
            </w:pPr>
            <w:r>
              <w:rPr>
                <w:rFonts w:ascii="Times New Roman" w:cs="Times New Roman" w:eastAsia="Times New Roman" w:hAnsi="Times New Roman"/>
                <w:sz w:val="18"/>
                <w:szCs w:val="18"/>
                <w:color w:val="auto"/>
                <w:w w:val="94"/>
              </w:rPr>
              <w:t>10.2</w:t>
            </w:r>
            <w:r>
              <w:rPr>
                <w:rFonts w:ascii="Times New Roman" w:cs="Times New Roman" w:eastAsia="Times New Roman" w:hAnsi="Times New Roman"/>
                <w:sz w:val="23"/>
                <w:szCs w:val="23"/>
                <w:color w:val="auto"/>
                <w:w w:val="94"/>
                <w:vertAlign w:val="superscript"/>
              </w:rPr>
              <w:t>+</w:t>
            </w:r>
          </w:p>
        </w:tc>
        <w:tc>
          <w:tcPr>
            <w:tcW w:w="7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Labcorp Holdings Inc. Amended and Restated 2016 Employee Stock Purchase Plan (incorporated by reference to Exhibit 10.5 to the</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Company’s Current Report on Form 8-K12B filed on May 17, 2024).</w:t>
              </w:r>
            </w:hyperlink>
          </w:p>
        </w:tc>
        <w:tc>
          <w:tcPr>
            <w:tcW w:w="52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Assignment and Assumption Agreement, dated as of May 17, 2024, by and among Laboratory Corporation of America Holdings, Labcorp</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6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Holdings Inc. and Adam H. Schechter (incorporated by reference to Exhibit 10.2 to the Company’s Current Report on Form 8-K12B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May 17,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Assignment and Assumption Agreement, dated as of May 17, 2024, by and among Laboratory Corporation of America Holdings, Labcorp</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6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Holdings Inc. and Radiance Merger Sub Inc. (incorporated by reference to Exhibit 10.3 to the Company’s Current Report on Form 8-K12B</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filed on May 17, 2024).</w:t>
              </w:r>
            </w:hyperlink>
          </w:p>
        </w:tc>
        <w:tc>
          <w:tcPr>
            <w:tcW w:w="84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w w:val="94"/>
              </w:rPr>
              <w:t>10.5</w:t>
            </w:r>
            <w:r>
              <w:rPr>
                <w:rFonts w:ascii="Times New Roman" w:cs="Times New Roman" w:eastAsia="Times New Roman" w:hAnsi="Times New Roman"/>
                <w:sz w:val="23"/>
                <w:szCs w:val="23"/>
                <w:color w:val="auto"/>
                <w:w w:val="94"/>
                <w:vertAlign w:val="superscript"/>
              </w:rPr>
              <w:t>+</w:t>
            </w:r>
          </w:p>
        </w:tc>
        <w:tc>
          <w:tcPr>
            <w:tcW w:w="760" w:type="dxa"/>
            <w:vAlign w:val="bottom"/>
          </w:tcPr>
          <w:p>
            <w:pPr>
              <w:spacing w:after="0"/>
              <w:rPr>
                <w:sz w:val="17"/>
                <w:szCs w:val="17"/>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National Health Laboratories Incorporated Pension Equalization Plan (incorporated herein by reference to the Company’s Annual Report on</w:t>
            </w: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Form 10-K for the fiscal year ended December 31, 1992).</w:t>
            </w:r>
          </w:p>
        </w:tc>
        <w:tc>
          <w:tcPr>
            <w:tcW w:w="0" w:type="dxa"/>
            <w:vAlign w:val="bottom"/>
          </w:tcPr>
          <w:p>
            <w:pPr>
              <w:spacing w:after="0"/>
              <w:rPr>
                <w:sz w:val="1"/>
                <w:szCs w:val="1"/>
                <w:color w:val="auto"/>
              </w:rPr>
            </w:pPr>
          </w:p>
        </w:tc>
      </w:tr>
      <w:tr>
        <w:trPr>
          <w:trHeight w:val="195"/>
        </w:trPr>
        <w:tc>
          <w:tcPr>
            <w:tcW w:w="42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w w:val="99"/>
              </w:rPr>
              <w:t>10.6</w:t>
            </w:r>
            <w:r>
              <w:rPr>
                <w:rFonts w:ascii="Times New Roman" w:cs="Times New Roman" w:eastAsia="Times New Roman" w:hAnsi="Times New Roman"/>
                <w:sz w:val="22"/>
                <w:szCs w:val="22"/>
                <w:color w:val="auto"/>
                <w:w w:val="99"/>
                <w:vertAlign w:val="superscript"/>
              </w:rPr>
              <w:t>+</w:t>
            </w:r>
          </w:p>
        </w:tc>
        <w:tc>
          <w:tcPr>
            <w:tcW w:w="760" w:type="dxa"/>
            <w:vAlign w:val="bottom"/>
          </w:tcPr>
          <w:p>
            <w:pPr>
              <w:spacing w:after="0"/>
              <w:rPr>
                <w:sz w:val="16"/>
                <w:szCs w:val="16"/>
                <w:color w:val="auto"/>
              </w:rPr>
            </w:pPr>
          </w:p>
        </w:tc>
        <w:tc>
          <w:tcPr>
            <w:tcW w:w="10400" w:type="dxa"/>
            <w:vAlign w:val="bottom"/>
            <w:gridSpan w:val="33"/>
          </w:tcPr>
          <w:p>
            <w:pPr>
              <w:spacing w:after="0" w:line="195"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Laboratory Corporation of America Holdings Amended and Restated New Pension Equalization Plan (incorporated herein by reference to</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Exhibit 10.1 to the Company’s Quarterly Report on Form 10-Q for the period ended September 30, 2004).</w:t>
              </w:r>
            </w:hyperlink>
          </w:p>
        </w:tc>
        <w:tc>
          <w:tcPr>
            <w:tcW w:w="25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w w:val="94"/>
              </w:rPr>
              <w:t>10.7</w:t>
            </w:r>
            <w:r>
              <w:rPr>
                <w:rFonts w:ascii="Times New Roman" w:cs="Times New Roman" w:eastAsia="Times New Roman" w:hAnsi="Times New Roman"/>
                <w:sz w:val="23"/>
                <w:szCs w:val="23"/>
                <w:color w:val="auto"/>
                <w:w w:val="94"/>
                <w:vertAlign w:val="superscript"/>
              </w:rPr>
              <w:t>+</w:t>
            </w: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First Amendment to the Laboratory Corporation of America Holdings Amended and Restated New Pension Equalization Plan (incorporated</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herein by reference to Exhibit 10.2 to the Company’s Quarterly Report on Form 10-Q for the period ended September 30, 2004).</w:t>
              </w:r>
            </w:hyperlink>
          </w:p>
        </w:tc>
        <w:tc>
          <w:tcPr>
            <w:tcW w:w="10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w w:val="94"/>
              </w:rPr>
              <w:t>10.8</w:t>
            </w:r>
            <w:r>
              <w:rPr>
                <w:rFonts w:ascii="Times New Roman" w:cs="Times New Roman" w:eastAsia="Times New Roman" w:hAnsi="Times New Roman"/>
                <w:sz w:val="23"/>
                <w:szCs w:val="23"/>
                <w:color w:val="auto"/>
                <w:w w:val="94"/>
                <w:vertAlign w:val="superscript"/>
              </w:rPr>
              <w:t>+</w:t>
            </w: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Second Amendment to the Laboratory Corporation of America Holdings Amended and Restated New Pension Equalization Plan</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(incorporated herein by reference to Exhibit 10.4 to the Company’s Annual Report on Form 10-K for the fiscal year ended December 31,</w:t>
              </w:r>
            </w:hyperlink>
          </w:p>
        </w:tc>
        <w:tc>
          <w:tcPr>
            <w:tcW w:w="120" w:type="dxa"/>
            <w:vAlign w:val="bottom"/>
            <w:tcBorders>
              <w:bottom w:val="single" w:sz="8" w:color="0000FF"/>
            </w:tcBorders>
            <w:gridSpan w:val="6"/>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Borders>
              <w:bottom w:val="single" w:sz="8" w:color="0000FF"/>
            </w:tcBorders>
          </w:tcPr>
          <w:p>
            <w:pPr>
              <w:spacing w:after="0" w:line="154"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2004).</w:t>
              </w:r>
            </w:hyperlink>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w w:val="94"/>
              </w:rPr>
              <w:t>10.9</w:t>
            </w:r>
            <w:r>
              <w:rPr>
                <w:rFonts w:ascii="Times New Roman" w:cs="Times New Roman" w:eastAsia="Times New Roman" w:hAnsi="Times New Roman"/>
                <w:sz w:val="23"/>
                <w:szCs w:val="23"/>
                <w:color w:val="auto"/>
                <w:w w:val="94"/>
                <w:vertAlign w:val="superscript"/>
              </w:rPr>
              <w:t>+</w:t>
            </w:r>
          </w:p>
        </w:tc>
        <w:tc>
          <w:tcPr>
            <w:tcW w:w="760" w:type="dxa"/>
            <w:vAlign w:val="bottom"/>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Third Amendment to the Laboratory Corporation of America Amended and Restated New Pension Equalization Plan (incorporated herein</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by reference Exhibit 10.6 to the Company’s Quarterly Report on Form 10-Q for the period ended June 30, 2005).</w:t>
              </w:r>
            </w:hyperlink>
          </w:p>
        </w:tc>
        <w:tc>
          <w:tcPr>
            <w:tcW w:w="2020" w:type="dxa"/>
            <w:vAlign w:val="bottom"/>
            <w:tcBorders>
              <w:top w:val="single" w:sz="8" w:color="0000FF"/>
            </w:tcBorders>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3"/>
                <w:szCs w:val="23"/>
                <w:color w:val="auto"/>
                <w:vertAlign w:val="superscript"/>
              </w:rPr>
              <w:t>+</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Laboratory Corporation of America Holdings Deferred Compensation Plan (incorporated herein by reference to Exhibit 10.22 the</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38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Company’s Annual Report on Form 10-K for the fiscal year ended December 31, 2004).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ind w:left="20"/>
              <w:spacing w:after="0" w:line="240" w:lineRule="exact"/>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3"/>
                <w:szCs w:val="23"/>
                <w:color w:val="auto"/>
                <w:vertAlign w:val="superscript"/>
              </w:rPr>
              <w:t>+</w:t>
            </w:r>
          </w:p>
        </w:tc>
        <w:tc>
          <w:tcPr>
            <w:tcW w:w="1240" w:type="dxa"/>
            <w:vAlign w:val="bottom"/>
            <w:gridSpan w:val="3"/>
            <w:shd w:val="clear" w:color="auto" w:fill="0000FF"/>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80" w:type="dxa"/>
            <w:vAlign w:val="bottom"/>
            <w:gridSpan w:val="2"/>
            <w:vMerge w:val="continue"/>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First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Exhibit 10.23 to the Company’s Annual Report on Form 10-K for the fiscal year ended December 31, 2004).</w:t>
              </w:r>
            </w:hyperlink>
          </w:p>
        </w:tc>
        <w:tc>
          <w:tcPr>
            <w:tcW w:w="25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3"/>
                <w:szCs w:val="23"/>
                <w:color w:val="auto"/>
                <w:vertAlign w:val="superscript"/>
              </w:rPr>
              <w:t>+</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Second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2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Exhibit 10.8 to the Company’s Quarterly Report on Form 10-Q for the period ended June 30, 2005).</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ind w:left="20"/>
              <w:spacing w:after="0" w:line="240" w:lineRule="exact"/>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23"/>
                <w:szCs w:val="23"/>
                <w:color w:val="auto"/>
                <w:vertAlign w:val="superscript"/>
              </w:rPr>
              <w:t>+</w:t>
            </w:r>
          </w:p>
        </w:tc>
        <w:tc>
          <w:tcPr>
            <w:tcW w:w="1240" w:type="dxa"/>
            <w:vAlign w:val="bottom"/>
            <w:gridSpan w:val="3"/>
            <w:shd w:val="clear" w:color="auto" w:fill="0000FF"/>
          </w:tcPr>
          <w:p>
            <w:pPr>
              <w:spacing w:after="0" w:line="20" w:lineRule="exact"/>
              <w:rPr>
                <w:sz w:val="1"/>
                <w:szCs w:val="1"/>
                <w:color w:val="auto"/>
              </w:rPr>
            </w:pPr>
          </w:p>
        </w:tc>
        <w:tc>
          <w:tcPr>
            <w:tcW w:w="546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80" w:type="dxa"/>
            <w:vAlign w:val="bottom"/>
            <w:gridSpan w:val="2"/>
            <w:vMerge w:val="continue"/>
          </w:tcPr>
          <w:p>
            <w:pPr>
              <w:spacing w:after="0"/>
              <w:rPr>
                <w:sz w:val="19"/>
                <w:szCs w:val="19"/>
                <w:color w:val="auto"/>
              </w:rPr>
            </w:pPr>
          </w:p>
        </w:tc>
        <w:tc>
          <w:tcPr>
            <w:tcW w:w="10400" w:type="dxa"/>
            <w:vAlign w:val="bottom"/>
            <w:gridSpan w:val="3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Third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Exhibit 10.28 to the Company’s Annual Report on Form 10-K for the fiscal year ended December 31, 2006).</w:t>
              </w:r>
            </w:hyperlink>
          </w:p>
        </w:tc>
        <w:tc>
          <w:tcPr>
            <w:tcW w:w="260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3"/>
                <w:szCs w:val="23"/>
                <w:color w:val="auto"/>
                <w:vertAlign w:val="superscript"/>
              </w:rPr>
              <w:t>+</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Fourth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Exhibit 10.34 to the Company’s Annual Report on Form 10-K for the fiscal year ended December 31, 2007).</w:t>
              </w:r>
            </w:hyperlink>
          </w:p>
        </w:tc>
        <w:tc>
          <w:tcPr>
            <w:tcW w:w="258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Amended and Restated Laboratory Corporation of America Holdings Master Senior Executive Severance Plan (incorporated by reference to</w:t>
              </w:r>
            </w:hyperlink>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Company’s Quarterly Report on Form 10-Q for the period ended March 31, 2024).</w:t>
              </w:r>
            </w:hyperlink>
          </w:p>
        </w:tc>
        <w:tc>
          <w:tcPr>
            <w:tcW w:w="364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4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Third Amended and Restated Credit Agreement, dated as of April 30, 2021, among the Company, Bank of America N.A., as administrative</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0" w:type="dxa"/>
            <w:vAlign w:val="bottom"/>
            <w:tcBorders>
              <w:bottom w:val="single" w:sz="8" w:color="0000FF"/>
            </w:tcBorders>
            <w:gridSpan w:val="33"/>
          </w:tcPr>
          <w:p>
            <w:pPr>
              <w:spacing w:after="0" w:line="194"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agent, and the lenders party thereto (incorporated herein by reference to Exhibit 10.1 to the Company’s Quarterly Report on Form 10-Q filed</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Borders>
              <w:bottom w:val="single" w:sz="8" w:color="0000FF"/>
            </w:tcBorders>
            <w:gridSpan w:val="3"/>
          </w:tcPr>
          <w:p>
            <w:pPr>
              <w:spacing w:after="0" w:line="194"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on May 4, 2021).</w:t>
              </w:r>
            </w:hyperlink>
          </w:p>
        </w:tc>
        <w:tc>
          <w:tcPr>
            <w:tcW w:w="9160" w:type="dxa"/>
            <w:vAlign w:val="bottom"/>
            <w:gridSpan w:val="30"/>
          </w:tcPr>
          <w:p>
            <w:pPr>
              <w:spacing w:after="0"/>
              <w:rPr>
                <w:sz w:val="16"/>
                <w:szCs w:val="16"/>
                <w:color w:val="auto"/>
              </w:rPr>
            </w:pPr>
          </w:p>
        </w:tc>
        <w:tc>
          <w:tcPr>
            <w:tcW w:w="0" w:type="dxa"/>
            <w:vAlign w:val="bottom"/>
          </w:tcPr>
          <w:p>
            <w:pPr>
              <w:spacing w:after="0"/>
              <w:rPr>
                <w:sz w:val="1"/>
                <w:szCs w:val="1"/>
                <w:color w:val="auto"/>
              </w:rPr>
            </w:pPr>
          </w:p>
        </w:tc>
      </w:tr>
      <w:tr>
        <w:trPr>
          <w:trHeight w:val="1008"/>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40" w:type="dxa"/>
            <w:vAlign w:val="bottom"/>
            <w:gridSpan w:val="6"/>
          </w:tcPr>
          <w:p>
            <w:pPr>
              <w:ind w:left="4360"/>
              <w:spacing w:after="0"/>
              <w:rPr>
                <w:sz w:val="20"/>
                <w:szCs w:val="20"/>
                <w:color w:val="auto"/>
              </w:rPr>
            </w:pPr>
            <w:r>
              <w:rPr>
                <w:rFonts w:ascii="Times New Roman" w:cs="Times New Roman" w:eastAsia="Times New Roman" w:hAnsi="Times New Roman"/>
                <w:sz w:val="18"/>
                <w:szCs w:val="18"/>
                <w:color w:val="auto"/>
              </w:rPr>
              <w:t>64</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1, dated as of January 13, 2023, to the Third Amended and Restated Credit Agreement (originally dated as of April 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60" w:type="dxa"/>
            <w:vAlign w:val="bottom"/>
            <w:tcBorders>
              <w:bottom w:val="single" w:sz="8" w:color="0000FF"/>
            </w:tcBorders>
            <w:gridSpan w:val="14"/>
          </w:tcPr>
          <w:p>
            <w:pPr>
              <w:spacing w:after="0" w:line="194"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2021)</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among the Company, Bank of America, N.A., as administrative agent, and lenders party thereto (incorporated by reference to Exhibit</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180" w:type="dxa"/>
            <w:vAlign w:val="bottom"/>
            <w:tcBorders>
              <w:bottom w:val="single" w:sz="8" w:color="0000FF"/>
            </w:tcBorders>
            <w:gridSpan w:val="9"/>
          </w:tcPr>
          <w:p>
            <w:pPr>
              <w:spacing w:after="0" w:line="194"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r>
                <w:rPr>
                  <w:rFonts w:ascii="Times New Roman" w:cs="Times New Roman" w:eastAsia="Times New Roman" w:hAnsi="Times New Roman"/>
                  <w:sz w:val="18"/>
                  <w:szCs w:val="18"/>
                  <w:color w:val="0000FF"/>
                  <w:w w:val="98"/>
                </w:rPr>
                <w:t xml:space="preserve"> to the Company’s Annual Report on Form 10-K for the fiscal year ended December 31, 2022).</w:t>
              </w:r>
            </w:hyperlink>
          </w:p>
        </w:tc>
        <w:tc>
          <w:tcPr>
            <w:tcW w:w="28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Guarantor Joinder Agreement, dated May 17, 2024, by and between Labcorp Holdings Inc. and Bank of America, N.A. (incorporated by</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0" w:type="dxa"/>
            <w:vAlign w:val="bottom"/>
            <w:tcBorders>
              <w:bottom w:val="single" w:sz="8" w:color="0000FF"/>
            </w:tcBorders>
            <w:gridSpan w:val="10"/>
          </w:tcPr>
          <w:p>
            <w:pPr>
              <w:spacing w:after="0" w:line="194"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reference to Exhibit 10.1 to the Company’s Current Report on Form 8-K12B filed on May 17, 2024).</w:t>
              </w:r>
            </w:hyperlink>
          </w:p>
        </w:tc>
        <w:tc>
          <w:tcPr>
            <w:tcW w:w="28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Term Loan Credit Agreement, dated June 3, 2019, by and among Laboratory Corporation of America Holdings, Bank of America, N.A., as</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40" w:type="dxa"/>
            <w:vAlign w:val="bottom"/>
            <w:tcBorders>
              <w:bottom w:val="single" w:sz="8" w:color="0000FF"/>
            </w:tcBorders>
            <w:gridSpan w:val="13"/>
          </w:tcPr>
          <w:p>
            <w:pPr>
              <w:spacing w:after="0" w:line="194"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administrative agent, and the lenders party thereto (incorporated by reference to Exhibit 10.1 to the Company’s Current Report on Form 8-K</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60" w:type="dxa"/>
            <w:vAlign w:val="bottom"/>
            <w:gridSpan w:val="14"/>
          </w:tcPr>
          <w:p>
            <w:pPr>
              <w:spacing w:after="0" w:line="194"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filed on June 3, 2019).</w:t>
              </w:r>
            </w:hyperlink>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180" w:type="dxa"/>
            <w:vAlign w:val="bottom"/>
            <w:gridSpan w:val="2"/>
            <w:vMerge w:val="continue"/>
          </w:tcPr>
          <w:p>
            <w:pPr>
              <w:spacing w:after="0"/>
              <w:rPr>
                <w:sz w:val="21"/>
                <w:szCs w:val="21"/>
                <w:color w:val="auto"/>
              </w:rPr>
            </w:pP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1, dated as of May 7, 2020, to the Term Loan Credit Agreement, dated June 3, 2019, among Laboratory Corporation of</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60" w:type="dxa"/>
            <w:vAlign w:val="bottom"/>
            <w:tcBorders>
              <w:bottom w:val="single" w:sz="8" w:color="0000FF"/>
            </w:tcBorders>
            <w:gridSpan w:val="14"/>
          </w:tcPr>
          <w:p>
            <w:pPr>
              <w:spacing w:after="0" w:line="194"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America Holdings, Bank of America, N.A. as administrative agent, and the lenders party thereto (incorporated by reference to Exhibit 10.1</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340" w:type="dxa"/>
            <w:vAlign w:val="bottom"/>
            <w:tcBorders>
              <w:bottom w:val="single" w:sz="8" w:color="0000FF"/>
            </w:tcBorders>
            <w:gridSpan w:val="8"/>
          </w:tcPr>
          <w:p>
            <w:pPr>
              <w:spacing w:after="0" w:line="194" w:lineRule="exact"/>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to the Company’s Quarterly Report on Form 10-Q for the period ended March 31, 2020).</w:t>
              </w:r>
            </w:hyperlink>
          </w:p>
        </w:tc>
        <w:tc>
          <w:tcPr>
            <w:tcW w:w="37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Receivables Purchase Agreement, dated as of August 23, 2024, by and among Labcorp Receivables, LLC, as seller, persons from time to</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40" w:type="dxa"/>
            <w:vAlign w:val="bottom"/>
            <w:tcBorders>
              <w:bottom w:val="single" w:sz="8" w:color="0000FF"/>
            </w:tcBorders>
            <w:gridSpan w:val="13"/>
          </w:tcPr>
          <w:p>
            <w:pPr>
              <w:spacing w:after="0" w:line="194"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time party hereto, as purchasers, PNC Bank National Association, as administrative agent, Laboratory Corporation of America Holdings, as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60" w:type="dxa"/>
            <w:vAlign w:val="bottom"/>
            <w:tcBorders>
              <w:bottom w:val="single" w:sz="8" w:color="0000FF"/>
            </w:tcBorders>
            <w:gridSpan w:val="14"/>
          </w:tcPr>
          <w:p>
            <w:pPr>
              <w:spacing w:after="0" w:line="194"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Servicer, and PNC Capital Markets, as structuring agent (incorporated by reference to Exhibit 10.1 to the Company’s Current Report on</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40" w:type="dxa"/>
            <w:vAlign w:val="bottom"/>
            <w:tcBorders>
              <w:bottom w:val="single" w:sz="8" w:color="0000FF"/>
            </w:tcBorders>
            <w:gridSpan w:val="3"/>
          </w:tcPr>
          <w:p>
            <w:pPr>
              <w:spacing w:after="0" w:line="194"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Form 8-K filed on August 23, 2024).</w:t>
              </w:r>
            </w:hyperlink>
          </w:p>
        </w:tc>
        <w:tc>
          <w:tcPr>
            <w:tcW w:w="742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First Amended Receivables Purchase Agreement, dated as of January 31, 2025, by and among Labcorp Receivables, LLC, as seller, persons</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40" w:type="dxa"/>
            <w:vAlign w:val="bottom"/>
            <w:tcBorders>
              <w:bottom w:val="single" w:sz="8" w:color="0000FF"/>
            </w:tcBorders>
            <w:gridSpan w:val="13"/>
          </w:tcPr>
          <w:p>
            <w:pPr>
              <w:spacing w:after="0" w:line="194"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from time to time party hereto, as purchasers, PNC Bank National Association, as administrative agent, Laboratory Corporation of America</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40" w:type="dxa"/>
            <w:vAlign w:val="bottom"/>
            <w:tcBorders>
              <w:bottom w:val="single" w:sz="8" w:color="0000FF"/>
            </w:tcBorders>
            <w:gridSpan w:val="13"/>
          </w:tcPr>
          <w:p>
            <w:pPr>
              <w:spacing w:after="0" w:line="19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Holdings, as Servicer, and PNC Capital Markets, as structuring agent (incorporated by reference to Exhibit 10.1 to the Company’s Current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60" w:type="dxa"/>
            <w:vAlign w:val="bottom"/>
            <w:gridSpan w:val="14"/>
          </w:tcPr>
          <w:p>
            <w:pPr>
              <w:spacing w:after="0" w:line="19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Report on Form 8-K filed on January 31, 2025).</w:t>
              </w:r>
            </w:hyperlink>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0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180" w:type="dxa"/>
            <w:vAlign w:val="bottom"/>
            <w:gridSpan w:val="2"/>
            <w:vMerge w:val="continue"/>
          </w:tcPr>
          <w:p>
            <w:pPr>
              <w:spacing w:after="0"/>
              <w:rPr>
                <w:sz w:val="21"/>
                <w:szCs w:val="21"/>
                <w:color w:val="auto"/>
              </w:rPr>
            </w:pPr>
          </w:p>
        </w:tc>
        <w:tc>
          <w:tcPr>
            <w:tcW w:w="10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Sale and Contribution Agreement, dated as of August 23, 2024, by and among each of the persons from time to time party hereto, as</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60" w:type="dxa"/>
            <w:vAlign w:val="bottom"/>
            <w:tcBorders>
              <w:bottom w:val="single" w:sz="8" w:color="0000FF"/>
            </w:tcBorders>
            <w:gridSpan w:val="14"/>
          </w:tcPr>
          <w:p>
            <w:pPr>
              <w:spacing w:after="0" w:line="194"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originators, Laboratory Corporation of America Holdings, as an originator and as servicer, and Labcorp Receivable LLC, as buyer</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60" w:type="dxa"/>
            <w:vAlign w:val="bottom"/>
            <w:gridSpan w:val="14"/>
          </w:tcPr>
          <w:p>
            <w:pPr>
              <w:spacing w:after="0" w:line="194"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to Exhibit 10.2 to the Company’s Current Report on Form 8-K filed on August 23, 2024).</w:t>
              </w:r>
            </w:hyperlink>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0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180" w:type="dxa"/>
            <w:vAlign w:val="bottom"/>
            <w:gridSpan w:val="2"/>
            <w:vMerge w:val="continue"/>
          </w:tcPr>
          <w:p>
            <w:pPr>
              <w:spacing w:after="0"/>
              <w:rPr>
                <w:sz w:val="21"/>
                <w:szCs w:val="21"/>
                <w:color w:val="auto"/>
              </w:rPr>
            </w:pPr>
          </w:p>
        </w:tc>
        <w:tc>
          <w:tcPr>
            <w:tcW w:w="10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Performance Guaranty, dated as August 23, 2024, by Labcorp Holdings, Inc., in favor of PNC Bank National Association, as administrative</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740" w:type="dxa"/>
            <w:vAlign w:val="bottom"/>
            <w:tcBorders>
              <w:bottom w:val="single" w:sz="8" w:color="0000FF"/>
            </w:tcBorders>
            <w:gridSpan w:val="12"/>
          </w:tcPr>
          <w:p>
            <w:pPr>
              <w:spacing w:after="0" w:line="194"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agent (incorporated by reference to Exhibit 10.3 to the Company’s Current Report on Form 8-K filed on August 23, 2024).</w:t>
              </w:r>
            </w:hyperlink>
          </w:p>
        </w:tc>
        <w:tc>
          <w:tcPr>
            <w:tcW w:w="13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8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8"/>
                <w:szCs w:val="18"/>
                <w:color w:val="auto"/>
              </w:rPr>
              <w:t>10.25</w:t>
            </w:r>
            <w:r>
              <w:rPr>
                <w:rFonts w:ascii="Times New Roman" w:cs="Times New Roman" w:eastAsia="Times New Roman" w:hAnsi="Times New Roman"/>
                <w:sz w:val="23"/>
                <w:szCs w:val="23"/>
                <w:color w:val="auto"/>
                <w:vertAlign w:val="superscript"/>
              </w:rPr>
              <w:t>**</w:t>
            </w:r>
          </w:p>
        </w:tc>
        <w:tc>
          <w:tcPr>
            <w:tcW w:w="10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Aircraft Time Sharing Agreement by and between Laboratory Corporation of America Holdings and Adam H. Schechter on November 18,</w:t>
            </w: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Borders>
              <w:top w:val="single" w:sz="8" w:color="0000FF"/>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3"/>
              </w:rPr>
              <w:t>2024.</w:t>
            </w:r>
          </w:p>
        </w:tc>
        <w:tc>
          <w:tcPr>
            <w:tcW w:w="1200" w:type="dxa"/>
            <w:vAlign w:val="bottom"/>
            <w:tcBorders>
              <w:top w:val="single" w:sz="8" w:color="0000FF"/>
            </w:tcBorders>
          </w:tcPr>
          <w:p>
            <w:pPr>
              <w:spacing w:after="0"/>
              <w:rPr>
                <w:sz w:val="16"/>
                <w:szCs w:val="16"/>
                <w:color w:val="auto"/>
              </w:rPr>
            </w:pPr>
          </w:p>
        </w:tc>
        <w:tc>
          <w:tcPr>
            <w:tcW w:w="10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80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10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130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16.1</w:t>
            </w:r>
          </w:p>
        </w:tc>
        <w:tc>
          <w:tcPr>
            <w:tcW w:w="760" w:type="dxa"/>
            <w:vAlign w:val="bottom"/>
          </w:tcPr>
          <w:p>
            <w:pPr>
              <w:spacing w:after="0"/>
              <w:rPr>
                <w:sz w:val="21"/>
                <w:szCs w:val="21"/>
                <w:color w:val="auto"/>
              </w:rPr>
            </w:pPr>
          </w:p>
        </w:tc>
        <w:tc>
          <w:tcPr>
            <w:tcW w:w="10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Letter of PricewaterhouseCoopers LLP, dated November 5, 2020 (incorporated by reference to Exhibit 16.1 to the Company’s Current</w:t>
              </w:r>
            </w:hyperlink>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40" w:type="dxa"/>
            <w:vAlign w:val="bottom"/>
            <w:tcBorders>
              <w:bottom w:val="single" w:sz="8" w:color="0000FF"/>
            </w:tcBorders>
            <w:gridSpan w:val="7"/>
          </w:tcPr>
          <w:p>
            <w:pPr>
              <w:spacing w:after="0" w:line="194"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Report on Form 8-K filed on November 5, 2020).</w:t>
              </w:r>
            </w:hyperlink>
          </w:p>
        </w:tc>
        <w:tc>
          <w:tcPr>
            <w:tcW w:w="65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16.2</w:t>
            </w:r>
          </w:p>
        </w:tc>
        <w:tc>
          <w:tcPr>
            <w:tcW w:w="760" w:type="dxa"/>
            <w:vAlign w:val="bottom"/>
          </w:tcPr>
          <w:p>
            <w:pPr>
              <w:spacing w:after="0"/>
              <w:rPr>
                <w:sz w:val="21"/>
                <w:szCs w:val="21"/>
                <w:color w:val="auto"/>
              </w:rPr>
            </w:pP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Letter of PricewaterhouseCoopers LLP, dated March 3, 2021 (incorporated by reference to Exhibit 16.1 to the Company’s Current Report on</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80" w:type="dxa"/>
            <w:vAlign w:val="bottom"/>
            <w:tcBorders>
              <w:bottom w:val="single" w:sz="8" w:color="0000FF"/>
            </w:tcBorders>
            <w:gridSpan w:val="4"/>
          </w:tcPr>
          <w:p>
            <w:pPr>
              <w:spacing w:after="0" w:line="194"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Form 8-K/A filed on March 3, 2021).</w:t>
              </w:r>
            </w:hyperlink>
          </w:p>
        </w:tc>
        <w:tc>
          <w:tcPr>
            <w:tcW w:w="73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8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8"/>
                <w:szCs w:val="18"/>
                <w:color w:val="auto"/>
              </w:rPr>
              <w:t>19.1</w:t>
            </w:r>
            <w:r>
              <w:rPr>
                <w:rFonts w:ascii="Times New Roman" w:cs="Times New Roman" w:eastAsia="Times New Roman" w:hAnsi="Times New Roman"/>
                <w:sz w:val="23"/>
                <w:szCs w:val="23"/>
                <w:color w:val="auto"/>
                <w:vertAlign w:val="superscript"/>
              </w:rPr>
              <w:t>**</w:t>
            </w:r>
          </w:p>
        </w:tc>
        <w:tc>
          <w:tcPr>
            <w:tcW w:w="3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Insider Trading Policy, revised March 2023</w:t>
            </w:r>
          </w:p>
        </w:tc>
        <w:tc>
          <w:tcPr>
            <w:tcW w:w="696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008"/>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40" w:type="dxa"/>
            <w:vAlign w:val="bottom"/>
            <w:gridSpan w:val="8"/>
          </w:tcPr>
          <w:p>
            <w:pPr>
              <w:ind w:left="4360"/>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8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List of Subsidiaries of the Company</w:t>
            </w:r>
          </w:p>
        </w:tc>
        <w:tc>
          <w:tcPr>
            <w:tcW w:w="7460" w:type="dxa"/>
            <w:vAlign w:val="bottom"/>
            <w:gridSpan w:val="14"/>
          </w:tcPr>
          <w:p>
            <w:pPr>
              <w:spacing w:after="0"/>
              <w:rPr>
                <w:sz w:val="24"/>
                <w:szCs w:val="24"/>
                <w:color w:val="auto"/>
              </w:rPr>
            </w:pP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3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Subsidiary Issuers of Guaranteed Securities</w:t>
            </w:r>
          </w:p>
        </w:tc>
        <w:tc>
          <w:tcPr>
            <w:tcW w:w="6940" w:type="dxa"/>
            <w:vAlign w:val="bottom"/>
            <w:gridSpan w:val="8"/>
          </w:tcPr>
          <w:p>
            <w:pPr>
              <w:spacing w:after="0"/>
              <w:rPr>
                <w:sz w:val="17"/>
                <w:szCs w:val="17"/>
                <w:color w:val="auto"/>
              </w:rPr>
            </w:pP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Deloitte &amp; Touche LLP, an independent registered public accounting firm</w:t>
            </w: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Power of Attorney of Kerrii B. Anderson</w:t>
            </w:r>
          </w:p>
        </w:tc>
        <w:tc>
          <w:tcPr>
            <w:tcW w:w="3120" w:type="dxa"/>
            <w:vAlign w:val="bottom"/>
            <w:tcBorders>
              <w:top w:val="single" w:sz="8" w:color="0000FF"/>
            </w:tcBorders>
            <w:gridSpan w:val="5"/>
          </w:tcPr>
          <w:p>
            <w:pPr>
              <w:spacing w:after="0"/>
              <w:rPr>
                <w:sz w:val="17"/>
                <w:szCs w:val="17"/>
                <w:color w:val="auto"/>
              </w:rPr>
            </w:pPr>
          </w:p>
        </w:tc>
        <w:tc>
          <w:tcPr>
            <w:tcW w:w="3980" w:type="dxa"/>
            <w:vAlign w:val="bottom"/>
            <w:gridSpan w:val="4"/>
          </w:tcPr>
          <w:p>
            <w:pPr>
              <w:spacing w:after="0"/>
              <w:rPr>
                <w:sz w:val="17"/>
                <w:szCs w:val="17"/>
                <w:color w:val="auto"/>
              </w:rPr>
            </w:pP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24.2**</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 of Jeffrey A. Davis</w:t>
            </w: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24.3**</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 of D. Gary Gilliland, M.D., Ph.D.</w:t>
            </w: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24.4**</w:t>
            </w:r>
          </w:p>
        </w:tc>
        <w:tc>
          <w:tcPr>
            <w:tcW w:w="37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Power of Attorney of Kirsten M. Kliphouse</w:t>
            </w:r>
          </w:p>
        </w:tc>
        <w:tc>
          <w:tcPr>
            <w:tcW w:w="6280" w:type="dxa"/>
            <w:vAlign w:val="bottom"/>
            <w:gridSpan w:val="5"/>
          </w:tcPr>
          <w:p>
            <w:pPr>
              <w:spacing w:after="0"/>
              <w:rPr>
                <w:sz w:val="17"/>
                <w:szCs w:val="17"/>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24.5**</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 of Garheng Kong, M.D., Ph.D.</w:t>
            </w: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35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Power of Attorney of Peter M. Neupert</w:t>
            </w:r>
          </w:p>
        </w:tc>
        <w:tc>
          <w:tcPr>
            <w:tcW w:w="6480" w:type="dxa"/>
            <w:vAlign w:val="bottom"/>
            <w:gridSpan w:val="6"/>
          </w:tcPr>
          <w:p>
            <w:pPr>
              <w:spacing w:after="0"/>
              <w:rPr>
                <w:sz w:val="17"/>
                <w:szCs w:val="17"/>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24.7**</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 of Richelle P. Parham</w:t>
            </w: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24.8**</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 of Paul B. Rothman, M.D.</w:t>
            </w: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w:t>
            </w:r>
          </w:p>
        </w:tc>
        <w:tc>
          <w:tcPr>
            <w:tcW w:w="32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Power of Attorney of Kathryn E. Wengel</w:t>
            </w:r>
          </w:p>
        </w:tc>
        <w:tc>
          <w:tcPr>
            <w:tcW w:w="6800" w:type="dxa"/>
            <w:vAlign w:val="bottom"/>
            <w:gridSpan w:val="7"/>
          </w:tcPr>
          <w:p>
            <w:pPr>
              <w:spacing w:after="0"/>
              <w:rPr>
                <w:sz w:val="17"/>
                <w:szCs w:val="17"/>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3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by the Chief Financial Officer pursuant to Rule 13a-14(a) or Rule 15d-14(a)</w:t>
            </w:r>
          </w:p>
        </w:tc>
        <w:tc>
          <w:tcPr>
            <w:tcW w:w="40" w:type="dxa"/>
            <w:vAlign w:val="bottom"/>
            <w:tcBorders>
              <w:top w:val="single" w:sz="8" w:color="0000FF"/>
            </w:tcBorders>
          </w:tcPr>
          <w:p>
            <w:pPr>
              <w:spacing w:after="0"/>
              <w:rPr>
                <w:sz w:val="17"/>
                <w:szCs w:val="17"/>
                <w:color w:val="auto"/>
              </w:rPr>
            </w:pPr>
          </w:p>
        </w:tc>
        <w:tc>
          <w:tcPr>
            <w:tcW w:w="3640" w:type="dxa"/>
            <w:vAlign w:val="bottom"/>
            <w:gridSpan w:val="2"/>
          </w:tcPr>
          <w:p>
            <w:pPr>
              <w:spacing w:after="0"/>
              <w:rPr>
                <w:sz w:val="17"/>
                <w:szCs w:val="17"/>
                <w:color w:val="auto"/>
              </w:rPr>
            </w:pPr>
          </w:p>
        </w:tc>
      </w:tr>
      <w:tr>
        <w:trPr>
          <w:trHeight w:val="207"/>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17"/>
                <w:szCs w:val="17"/>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Written Statement of Chief Executive Officer and Chief Financial Officer pursuant to Section 906 of the Sarbanes-Oxley Act of 2002 (18</w:t>
            </w:r>
          </w:p>
        </w:tc>
      </w:tr>
      <w:tr>
        <w:trPr>
          <w:trHeight w:val="153"/>
        </w:trPr>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rPr>
              <w:t>U.S.C. Section 1350)</w:t>
            </w:r>
          </w:p>
        </w:tc>
        <w:tc>
          <w:tcPr>
            <w:tcW w:w="85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bl>
    <w:p>
      <w:pPr>
        <w:spacing w:after="0" w:line="35" w:lineRule="exact"/>
        <w:rPr>
          <w:sz w:val="20"/>
          <w:szCs w:val="20"/>
          <w:color w:val="auto"/>
        </w:rPr>
      </w:pPr>
    </w:p>
    <w:p>
      <w:pPr>
        <w:ind w:left="1200" w:hanging="1176"/>
        <w:spacing w:after="0" w:line="235" w:lineRule="auto"/>
        <w:tabs>
          <w:tab w:leader="none" w:pos="1200" w:val="left"/>
        </w:tabs>
        <w:numPr>
          <w:ilvl w:val="0"/>
          <w:numId w:val="31"/>
        </w:numPr>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Incentive Compensation Recoupment Policy, effective October 11, 2023 (incorporated by reference to Exhibit 97 to the Company’s Annual</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Report on Form 10-K for the fiscal year ended December 31, 2023).</w:t>
        </w:r>
      </w:hyperlink>
    </w:p>
    <w:p>
      <w:pPr>
        <w:spacing w:after="0" w:line="233"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2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8" w:lineRule="exact"/>
        <w:rPr>
          <w:rFonts w:ascii="Times New Roman" w:cs="Times New Roman" w:eastAsia="Times New Roman" w:hAnsi="Times New Roman"/>
          <w:sz w:val="18"/>
          <w:szCs w:val="18"/>
          <w:color w:val="auto"/>
        </w:rPr>
      </w:pPr>
    </w:p>
    <w:p>
      <w:pPr>
        <w:ind w:left="1200" w:hanging="1176"/>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25" w:lineRule="exact"/>
        <w:rPr>
          <w:rFonts w:ascii="Times New Roman" w:cs="Times New Roman" w:eastAsia="Times New Roman" w:hAnsi="Times New Roman"/>
          <w:sz w:val="18"/>
          <w:szCs w:val="18"/>
          <w:color w:val="auto"/>
        </w:rPr>
      </w:pPr>
    </w:p>
    <w:p>
      <w:pPr>
        <w:ind w:left="1200" w:hanging="1176"/>
        <w:spacing w:after="0" w:line="232" w:lineRule="auto"/>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The registrant agrees to furnish supplementally copies of any of the omitted schedules to the Securities and Exchange Commission upon its request.</w:t>
      </w:r>
    </w:p>
    <w:p>
      <w:pPr>
        <w:spacing w:after="0" w:line="8" w:lineRule="exact"/>
        <w:rPr>
          <w:rFonts w:ascii="Times New Roman" w:cs="Times New Roman" w:eastAsia="Times New Roman" w:hAnsi="Times New Roman"/>
          <w:sz w:val="18"/>
          <w:szCs w:val="18"/>
          <w:color w:val="auto"/>
        </w:rPr>
      </w:pPr>
    </w:p>
    <w:p>
      <w:pPr>
        <w:ind w:left="1200" w:right="120" w:hanging="1176"/>
        <w:spacing w:after="0" w:line="235" w:lineRule="auto"/>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601(b)(2)(ii) and Item 601(b)(10)(iv) of Regulation S-K, as applicable. The Company agrees to furnish supplementally an unredacted copy of the exhibit to the Commission upon its request.</w:t>
      </w:r>
    </w:p>
    <w:p>
      <w:pPr>
        <w:spacing w:after="0" w:line="8" w:lineRule="exact"/>
        <w:rPr>
          <w:rFonts w:ascii="Times New Roman" w:cs="Times New Roman" w:eastAsia="Times New Roman" w:hAnsi="Times New Roman"/>
          <w:sz w:val="18"/>
          <w:szCs w:val="18"/>
          <w:color w:val="auto"/>
        </w:rPr>
      </w:pPr>
    </w:p>
    <w:p>
      <w:pPr>
        <w:ind w:left="1200" w:hanging="117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as required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w:t>
      </w:r>
    </w:p>
    <w:p>
      <w:pPr>
        <w:spacing w:after="0" w:line="268"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15875</wp:posOffset>
            </wp:positionV>
            <wp:extent cx="32111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Dated: February 25, 2025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on February 25, 2025 in the capacities indicated.</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JULIA 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Julia A. Wang</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J.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J. Wilkinson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Kerrii B. Anderson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Jeffrey A. Davis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Gary Gilliland, M.D., Ph.D.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Kirsten M. Kliphouse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Garheng Kong, M.D., Ph.D.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M. Neupert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Richelle Parham</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B. Rothman, M. 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734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Kathryn E. Wengel</w:t>
      </w:r>
    </w:p>
    <w:p>
      <w:pPr>
        <w:spacing w:after="0" w:line="20" w:lineRule="exact"/>
        <w:rPr>
          <w:sz w:val="20"/>
          <w:szCs w:val="20"/>
          <w:color w:val="auto"/>
        </w:rPr>
      </w:pPr>
      <w:r>
        <w:rPr>
          <w:sz w:val="20"/>
          <w:szCs w:val="20"/>
          <w:color w:val="auto"/>
        </w:rPr>
        <w:br w:type="column"/>
      </w:r>
    </w:p>
    <w:p>
      <w:pPr>
        <w:ind w:left="2560"/>
        <w:spacing w:after="0"/>
        <w:rPr>
          <w:sz w:val="20"/>
          <w:szCs w:val="20"/>
          <w:color w:val="auto"/>
        </w:rPr>
      </w:pPr>
      <w:r>
        <w:rPr>
          <w:rFonts w:ascii="Times New Roman" w:cs="Times New Roman" w:eastAsia="Times New Roman" w:hAnsi="Times New Roman"/>
          <w:sz w:val="18"/>
          <w:szCs w:val="18"/>
          <w:u w:val="single" w:color="auto"/>
          <w:color w:val="auto"/>
        </w:rPr>
        <w:t>Title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Chief Financial Officer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4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380" w:lineRule="exact"/>
        <w:rPr>
          <w:sz w:val="20"/>
          <w:szCs w:val="20"/>
          <w:color w:val="auto"/>
        </w:rPr>
      </w:pPr>
    </w:p>
    <w:p>
      <w:pPr>
        <w:ind w:firstLine="7"/>
        <w:spacing w:after="0" w:line="277" w:lineRule="auto"/>
        <w:tabs>
          <w:tab w:leader="none" w:pos="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Sandra D. van der Vaart, by her signing her name hereto, does hereby sign this Annual Report on behalf of the directors of the Registrant after whose typed names asterisks appear, pursuant to powers of attorney duly executed by such directors and filed with the SEC.</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SANDRA D. VAN DER VAART</w:t>
            </w:r>
          </w:p>
        </w:tc>
      </w:tr>
      <w:tr>
        <w:trPr>
          <w:trHeight w:val="222"/>
        </w:trPr>
        <w:tc>
          <w:tcPr>
            <w:tcW w:w="6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Sandra D. van der Vaart</w:t>
            </w:r>
          </w:p>
        </w:tc>
      </w:tr>
      <w:tr>
        <w:trPr>
          <w:trHeight w:val="232"/>
        </w:trPr>
        <w:tc>
          <w:tcPr>
            <w:tcW w:w="6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2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8" w:lineRule="exact"/>
        <w:rPr>
          <w:sz w:val="20"/>
          <w:szCs w:val="20"/>
          <w:color w:val="auto"/>
        </w:rPr>
      </w:pPr>
    </w:p>
    <w:tbl>
      <w:tblPr>
        <w:tblLayout w:type="fixed"/>
        <w:tblInd w:w="900" w:type="dxa"/>
        <w:tblCellMar>
          <w:top w:w="0" w:type="dxa"/>
          <w:left w:w="0" w:type="dxa"/>
          <w:bottom w:w="0" w:type="dxa"/>
          <w:right w:w="0" w:type="dxa"/>
        </w:tblCellMar>
      </w:tblPr>
      <w:tr>
        <w:trPr>
          <w:trHeight w:val="232"/>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07"/>
        </w:trPr>
        <w:tc>
          <w:tcPr>
            <w:tcW w:w="7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Deloitte &amp; Touche </w:t>
            </w:r>
            <w:r>
              <w:rPr>
                <w:rFonts w:ascii="Times New Roman" w:cs="Times New Roman" w:eastAsia="Times New Roman" w:hAnsi="Times New Roman"/>
                <w:sz w:val="18"/>
                <w:szCs w:val="18"/>
                <w:color w:val="000000"/>
              </w:rPr>
              <w:t>PCAOB ID No.</w:t>
            </w:r>
          </w:p>
        </w:tc>
        <w:tc>
          <w:tcPr>
            <w:tcW w:w="13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24"/>
                <w:szCs w:val="24"/>
                <w:color w:val="auto"/>
              </w:rPr>
            </w:pPr>
          </w:p>
        </w:tc>
        <w:tc>
          <w:tcPr>
            <w:tcW w:w="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rPr>
              <w:t>F-2</w:t>
            </w:r>
          </w:p>
        </w:tc>
      </w:tr>
      <w:tr>
        <w:trPr>
          <w:trHeight w:val="153"/>
        </w:trPr>
        <w:tc>
          <w:tcPr>
            <w:tcW w:w="5640" w:type="dxa"/>
            <w:vAlign w:val="bottom"/>
            <w:tcBorders>
              <w:top w:val="single" w:sz="8" w:color="0000FF"/>
            </w:tcBorders>
            <w:gridSpan w:val="9"/>
          </w:tcPr>
          <w:p>
            <w:pPr>
              <w:spacing w:after="0" w:line="154" w:lineRule="exact"/>
              <w:rPr>
                <w:sz w:val="20"/>
                <w:szCs w:val="20"/>
                <w:color w:val="auto"/>
              </w:rPr>
            </w:pPr>
            <w:r>
              <w:rPr>
                <w:rFonts w:ascii="Times New Roman" w:cs="Times New Roman" w:eastAsia="Times New Roman" w:hAnsi="Times New Roman"/>
                <w:sz w:val="17"/>
                <w:szCs w:val="17"/>
                <w:color w:val="0000FF"/>
              </w:rPr>
              <w:t>LLP</w:t>
            </w:r>
          </w:p>
        </w:tc>
        <w:tc>
          <w:tcPr>
            <w:tcW w:w="1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14"/>
        </w:trPr>
        <w:tc>
          <w:tcPr>
            <w:tcW w:w="7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3"/>
        </w:trPr>
        <w:tc>
          <w:tcPr>
            <w:tcW w:w="240" w:type="dxa"/>
            <w:vAlign w:val="bottom"/>
          </w:tcPr>
          <w:p>
            <w:pPr>
              <w:spacing w:after="0"/>
              <w:rPr>
                <w:sz w:val="24"/>
                <w:szCs w:val="24"/>
                <w:color w:val="auto"/>
              </w:rPr>
            </w:pPr>
          </w:p>
        </w:tc>
        <w:tc>
          <w:tcPr>
            <w:tcW w:w="6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rPr>
              <w:t>F-5</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4"/>
        </w:trPr>
        <w:tc>
          <w:tcPr>
            <w:tcW w:w="240" w:type="dxa"/>
            <w:vAlign w:val="bottom"/>
          </w:tcPr>
          <w:p>
            <w:pPr>
              <w:spacing w:after="0"/>
              <w:rPr>
                <w:sz w:val="24"/>
                <w:szCs w:val="24"/>
                <w:color w:val="auto"/>
              </w:rPr>
            </w:pPr>
          </w:p>
        </w:tc>
        <w:tc>
          <w:tcPr>
            <w:tcW w:w="6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rPr>
              <w:t>F-6</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0"/>
        </w:trPr>
        <w:tc>
          <w:tcPr>
            <w:tcW w:w="240" w:type="dxa"/>
            <w:vAlign w:val="bottom"/>
          </w:tcPr>
          <w:p>
            <w:pPr>
              <w:spacing w:after="0"/>
              <w:rPr>
                <w:sz w:val="24"/>
                <w:szCs w:val="24"/>
                <w:color w:val="auto"/>
              </w:rPr>
            </w:pPr>
          </w:p>
        </w:tc>
        <w:tc>
          <w:tcPr>
            <w:tcW w:w="3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Earnings</w:t>
            </w:r>
          </w:p>
        </w:tc>
        <w:tc>
          <w:tcPr>
            <w:tcW w:w="3000" w:type="dxa"/>
            <w:vAlign w:val="bottom"/>
            <w:gridSpan w:val="3"/>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420" w:type="dxa"/>
            <w:vAlign w:val="bottom"/>
          </w:tcPr>
          <w:p>
            <w:pPr>
              <w:spacing w:after="0"/>
              <w:rPr>
                <w:sz w:val="24"/>
                <w:szCs w:val="24"/>
                <w:color w:val="auto"/>
              </w:rPr>
            </w:pPr>
          </w:p>
        </w:tc>
      </w:tr>
      <w:tr>
        <w:trPr>
          <w:trHeight w:val="434"/>
        </w:trPr>
        <w:tc>
          <w:tcPr>
            <w:tcW w:w="240" w:type="dxa"/>
            <w:vAlign w:val="bottom"/>
          </w:tcPr>
          <w:p>
            <w:pPr>
              <w:spacing w:after="0"/>
              <w:rPr>
                <w:sz w:val="24"/>
                <w:szCs w:val="24"/>
                <w:color w:val="auto"/>
              </w:rPr>
            </w:pPr>
          </w:p>
        </w:tc>
        <w:tc>
          <w:tcPr>
            <w:tcW w:w="4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Consolidated Statements of Changes in Shareholders’ Equity</w:t>
            </w:r>
          </w:p>
        </w:tc>
        <w:tc>
          <w:tcPr>
            <w:tcW w:w="248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F-8</w:t>
            </w:r>
          </w:p>
        </w:tc>
        <w:tc>
          <w:tcPr>
            <w:tcW w:w="420" w:type="dxa"/>
            <w:vAlign w:val="bottom"/>
          </w:tcPr>
          <w:p>
            <w:pPr>
              <w:spacing w:after="0"/>
              <w:rPr>
                <w:sz w:val="24"/>
                <w:szCs w:val="24"/>
                <w:color w:val="auto"/>
              </w:rPr>
            </w:pPr>
          </w:p>
        </w:tc>
      </w:tr>
      <w:tr>
        <w:trPr>
          <w:trHeight w:val="434"/>
        </w:trPr>
        <w:tc>
          <w:tcPr>
            <w:tcW w:w="240" w:type="dxa"/>
            <w:vAlign w:val="bottom"/>
          </w:tcPr>
          <w:p>
            <w:pPr>
              <w:spacing w:after="0"/>
              <w:rPr>
                <w:sz w:val="24"/>
                <w:szCs w:val="24"/>
                <w:color w:val="auto"/>
              </w:rPr>
            </w:pPr>
          </w:p>
        </w:tc>
        <w:tc>
          <w:tcPr>
            <w:tcW w:w="6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rPr>
              <w:t>F-9</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4"/>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3920" w:type="dxa"/>
            <w:vAlign w:val="bottom"/>
            <w:gridSpan w:val="4"/>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F-10</w:t>
            </w:r>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Labcorp Holdings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Labcorp Holdings Inc. and subsidiaries (the "Company") as of December 31, 2024, and 2023, the related consolidated statements of operations, comprehensive earnings, changes in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ind w:right="1580"/>
        <w:spacing w:after="0" w:line="4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Labcorp Diagnostics (Dx) Segment Net Accounts Receivable— Refer to Note 3 to the consolidated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Dx revenue and accounts receivable net of negotiated discounts and anticipated adjustments, including historical collection experience for each of its four payer portfolios (clients, patients, Medicare &amp; Medicaid, and third-party). Management has a formal process to estimate implicit price concessions for uncollectable accounts. Anticipated write-offs are recorded as adjustments to revenue at an amount considered necessary to record revenue at its net realizable value. In addition to negotiated contractual discounts, other adjustments including anticipated payer denials and other external factors that could affect the collectability of its receivables are considered when determining revenue and the net receivable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Given the significant judgment and estimates necessary to determine the net realizable value of accounts receivable related to the Dx segment, auditing such estimates required extensive audit effort and a high degree of auditor judgment when performing audit procedures and evaluating the results of those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Dx Net Accounts Receivable included the following, among others:</w:t>
      </w:r>
    </w:p>
    <w:p>
      <w:pPr>
        <w:spacing w:after="0" w:line="25" w:lineRule="exact"/>
        <w:rPr>
          <w:sz w:val="20"/>
          <w:szCs w:val="20"/>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net accounts receivable.</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methodology for recording Dx net accounts receivable by performing a retrospective comparison of actual cash collected to the prior year estimate of net accounts receivable.</w:t>
      </w:r>
    </w:p>
    <w:p>
      <w:pPr>
        <w:ind w:left="640" w:hanging="313"/>
        <w:spacing w:after="0" w:line="247"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estimate of net accounts receivable by taking into consideration historical collections, write-offs, and other relevant internal and external factors.</w:t>
      </w: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underlying historical data used as an input to our independent estimate.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3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Labcorp Holdings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Labcorp Holdings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7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81"/>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Financial Information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1"/>
        </w:trPr>
        <w:tc>
          <w:tcPr>
            <w:tcW w:w="420" w:type="dxa"/>
            <w:vAlign w:val="bottom"/>
          </w:tcPr>
          <w:p>
            <w:pPr>
              <w:spacing w:after="0"/>
              <w:rPr>
                <w:sz w:val="24"/>
                <w:szCs w:val="24"/>
                <w:color w:val="auto"/>
              </w:rPr>
            </w:pPr>
          </w:p>
        </w:tc>
        <w:tc>
          <w:tcPr>
            <w:tcW w:w="744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3"/>
        </w:trPr>
        <w:tc>
          <w:tcPr>
            <w:tcW w:w="420" w:type="dxa"/>
            <w:vAlign w:val="bottom"/>
          </w:tcPr>
          <w:p>
            <w:pPr>
              <w:spacing w:after="0"/>
              <w:rPr>
                <w:sz w:val="18"/>
                <w:szCs w:val="18"/>
                <w:color w:val="auto"/>
              </w:rPr>
            </w:pPr>
          </w:p>
        </w:tc>
        <w:tc>
          <w:tcPr>
            <w:tcW w:w="7440" w:type="dxa"/>
            <w:vAlign w:val="bottom"/>
          </w:tcPr>
          <w:p>
            <w:pPr>
              <w:jc w:val="center"/>
              <w:ind w:left="2871"/>
              <w:spacing w:after="0"/>
              <w:rPr>
                <w:sz w:val="20"/>
                <w:szCs w:val="20"/>
                <w:color w:val="auto"/>
              </w:rPr>
            </w:pPr>
            <w:r>
              <w:rPr>
                <w:rFonts w:ascii="Times New Roman" w:cs="Times New Roman" w:eastAsia="Times New Roman" w:hAnsi="Times New Roman"/>
                <w:sz w:val="18"/>
                <w:szCs w:val="18"/>
                <w:b w:val="1"/>
                <w:bCs w:val="1"/>
                <w:color w:val="auto"/>
                <w:w w:val="98"/>
              </w:rPr>
              <w:t>CONSOLIDATED BALANCE SHEETS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6"/>
        </w:trPr>
        <w:tc>
          <w:tcPr>
            <w:tcW w:w="420" w:type="dxa"/>
            <w:vAlign w:val="bottom"/>
          </w:tcPr>
          <w:p>
            <w:pPr>
              <w:spacing w:after="0"/>
              <w:rPr>
                <w:sz w:val="20"/>
                <w:szCs w:val="20"/>
                <w:color w:val="auto"/>
              </w:rPr>
            </w:pPr>
          </w:p>
        </w:tc>
        <w:tc>
          <w:tcPr>
            <w:tcW w:w="744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66"/>
        </w:trPr>
        <w:tc>
          <w:tcPr>
            <w:tcW w:w="4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34"/>
        </w:trPr>
        <w:tc>
          <w:tcPr>
            <w:tcW w:w="420" w:type="dxa"/>
            <w:vAlign w:val="bottom"/>
            <w:tcBorders>
              <w:bottom w:val="single" w:sz="8" w:color="CCEEFF"/>
            </w:tcBorders>
          </w:tcPr>
          <w:p>
            <w:pPr>
              <w:spacing w:after="0"/>
              <w:rPr>
                <w:sz w:val="20"/>
                <w:szCs w:val="20"/>
                <w:color w:val="auto"/>
              </w:rPr>
            </w:pPr>
          </w:p>
        </w:tc>
        <w:tc>
          <w:tcPr>
            <w:tcW w:w="7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27"/>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27"/>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27"/>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r>
      <w:tr>
        <w:trPr>
          <w:trHeight w:val="227"/>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20"/>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r>
      <w:tr>
        <w:trPr>
          <w:trHeight w:val="227"/>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2,911.8</w:t>
            </w:r>
          </w:p>
        </w:tc>
      </w:tr>
      <w:tr>
        <w:trPr>
          <w:trHeight w:val="227"/>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6,142.5</w:t>
            </w:r>
          </w:p>
        </w:tc>
      </w:tr>
      <w:tr>
        <w:trPr>
          <w:trHeight w:val="227"/>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w:t>
            </w:r>
          </w:p>
        </w:tc>
      </w:tr>
      <w:tr>
        <w:trPr>
          <w:trHeight w:val="227"/>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7"/>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2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16,725.1</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27"/>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7"/>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27"/>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7"/>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7"/>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r>
      <w:tr>
        <w:trPr>
          <w:trHeight w:val="220"/>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3,225.2</w:t>
            </w:r>
          </w:p>
        </w:tc>
      </w:tr>
      <w:tr>
        <w:trPr>
          <w:trHeight w:val="227"/>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4,054.7</w:t>
            </w:r>
          </w:p>
        </w:tc>
      </w:tr>
      <w:tr>
        <w:trPr>
          <w:trHeight w:val="227"/>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r>
      <w:tr>
        <w:trPr>
          <w:trHeight w:val="227"/>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7"/>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27"/>
        </w:trPr>
        <w:tc>
          <w:tcPr>
            <w:tcW w:w="7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2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8,834.6</w:t>
            </w: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83.4 and 83.9 shares outstanding at December 31, 2024, and 2023, respectively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7"/>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7"/>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7,888.2</w:t>
            </w:r>
          </w:p>
        </w:tc>
      </w:tr>
      <w:tr>
        <w:trPr>
          <w:trHeight w:val="227"/>
        </w:trPr>
        <w:tc>
          <w:tcPr>
            <w:tcW w:w="7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0"/>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w:t>
            </w:r>
          </w:p>
        </w:tc>
      </w:tr>
      <w:tr>
        <w:trPr>
          <w:trHeight w:val="22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16,725.1</w:t>
            </w:r>
          </w:p>
        </w:tc>
      </w:tr>
      <w:tr>
        <w:trPr>
          <w:trHeight w:val="20"/>
        </w:trPr>
        <w:tc>
          <w:tcPr>
            <w:tcW w:w="4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58"/>
        </w:trPr>
        <w:tc>
          <w:tcPr>
            <w:tcW w:w="420" w:type="dxa"/>
            <w:vAlign w:val="bottom"/>
            <w:tcBorders>
              <w:top w:val="single" w:sz="8" w:color="0000FF"/>
            </w:tcBorders>
          </w:tcPr>
          <w:p>
            <w:pPr>
              <w:spacing w:after="0"/>
              <w:rPr>
                <w:sz w:val="24"/>
                <w:szCs w:val="24"/>
                <w:color w:val="auto"/>
              </w:rPr>
            </w:pPr>
          </w:p>
        </w:tc>
        <w:tc>
          <w:tcPr>
            <w:tcW w:w="7300" w:type="dxa"/>
            <w:vAlign w:val="bottom"/>
            <w:gridSpan w:val="2"/>
          </w:tcPr>
          <w:p>
            <w:pPr>
              <w:jc w:val="center"/>
              <w:ind w:left="303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3"/>
        </w:trPr>
        <w:tc>
          <w:tcPr>
            <w:tcW w:w="420" w:type="dxa"/>
            <w:vAlign w:val="bottom"/>
          </w:tcPr>
          <w:p>
            <w:pPr>
              <w:spacing w:after="0"/>
              <w:rPr>
                <w:sz w:val="18"/>
                <w:szCs w:val="18"/>
                <w:color w:val="auto"/>
              </w:rPr>
            </w:pPr>
          </w:p>
        </w:tc>
        <w:tc>
          <w:tcPr>
            <w:tcW w:w="7300" w:type="dxa"/>
            <w:vAlign w:val="bottom"/>
            <w:gridSpan w:val="2"/>
          </w:tcPr>
          <w:p>
            <w:pPr>
              <w:jc w:val="center"/>
              <w:ind w:left="301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6"/>
        </w:trPr>
        <w:tc>
          <w:tcPr>
            <w:tcW w:w="420" w:type="dxa"/>
            <w:vAlign w:val="bottom"/>
          </w:tcPr>
          <w:p>
            <w:pPr>
              <w:spacing w:after="0"/>
              <w:rPr>
                <w:sz w:val="20"/>
                <w:szCs w:val="20"/>
                <w:color w:val="auto"/>
              </w:rPr>
            </w:pPr>
          </w:p>
        </w:tc>
        <w:tc>
          <w:tcPr>
            <w:tcW w:w="6880" w:type="dxa"/>
            <w:vAlign w:val="bottom"/>
          </w:tcPr>
          <w:p>
            <w:pPr>
              <w:jc w:val="center"/>
              <w:ind w:left="345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0"/>
        </w:trPr>
        <w:tc>
          <w:tcPr>
            <w:tcW w:w="42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r>
      <w:tr>
        <w:trPr>
          <w:trHeight w:val="234"/>
        </w:trPr>
        <w:tc>
          <w:tcPr>
            <w:tcW w:w="420" w:type="dxa"/>
            <w:vAlign w:val="bottom"/>
            <w:tcBorders>
              <w:bottom w:val="single" w:sz="8" w:color="CCEEFF"/>
            </w:tcBorders>
          </w:tcPr>
          <w:p>
            <w:pPr>
              <w:spacing w:after="0"/>
              <w:rPr>
                <w:sz w:val="20"/>
                <w:szCs w:val="20"/>
                <w:color w:val="auto"/>
              </w:rPr>
            </w:pPr>
          </w:p>
        </w:tc>
        <w:tc>
          <w:tcPr>
            <w:tcW w:w="68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11,863.9</w:t>
            </w:r>
          </w:p>
        </w:tc>
      </w:tr>
      <w:tr>
        <w:trPr>
          <w:trHeight w:val="227"/>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8,155.0</w:t>
            </w:r>
          </w:p>
        </w:tc>
      </w:tr>
      <w:tr>
        <w:trPr>
          <w:trHeight w:val="220"/>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3,708.9</w:t>
            </w:r>
          </w:p>
        </w:tc>
      </w:tr>
      <w:tr>
        <w:trPr>
          <w:trHeight w:val="227"/>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1,763.1</w:t>
            </w:r>
          </w:p>
        </w:tc>
      </w:tr>
      <w:tr>
        <w:trPr>
          <w:trHeight w:val="227"/>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27"/>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7"/>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1,436.5</w:t>
            </w:r>
          </w:p>
        </w:tc>
      </w:tr>
      <w:tr>
        <w:trPr>
          <w:trHeight w:val="227"/>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7"/>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27"/>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7"/>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method (loss) income, net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7"/>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r>
      <w:tr>
        <w:trPr>
          <w:trHeight w:val="227"/>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2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r>
      <w:tr>
        <w:trPr>
          <w:trHeight w:val="227"/>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2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w:t>
            </w:r>
          </w:p>
        </w:tc>
      </w:tr>
      <w:tr>
        <w:trPr>
          <w:trHeight w:val="227"/>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1,279.1</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7"/>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7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earnings per common share from continuing operations</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7"/>
        </w:trPr>
        <w:tc>
          <w:tcPr>
            <w:tcW w:w="7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 earnings per common share from discontinued operations</w:t>
            </w: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7"/>
        </w:trPr>
        <w:tc>
          <w:tcPr>
            <w:tcW w:w="7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13"/>
        </w:trPr>
        <w:tc>
          <w:tcPr>
            <w:tcW w:w="73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7"/>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7"/>
        </w:trPr>
        <w:tc>
          <w:tcPr>
            <w:tcW w:w="7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 earnings per common share from continuing operations</w:t>
            </w: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7"/>
        </w:trPr>
        <w:tc>
          <w:tcPr>
            <w:tcW w:w="7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 earnings per common share from discontinued operations</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2"/>
        </w:trPr>
        <w:tc>
          <w:tcPr>
            <w:tcW w:w="7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58"/>
        </w:trPr>
        <w:tc>
          <w:tcPr>
            <w:tcW w:w="420" w:type="dxa"/>
            <w:vAlign w:val="bottom"/>
            <w:tcBorders>
              <w:top w:val="single" w:sz="8" w:color="0000FF"/>
            </w:tcBorders>
          </w:tcPr>
          <w:p>
            <w:pPr>
              <w:spacing w:after="0"/>
              <w:rPr>
                <w:sz w:val="24"/>
                <w:szCs w:val="24"/>
                <w:color w:val="auto"/>
              </w:rPr>
            </w:pPr>
          </w:p>
        </w:tc>
        <w:tc>
          <w:tcPr>
            <w:tcW w:w="7280" w:type="dxa"/>
            <w:vAlign w:val="bottom"/>
          </w:tcPr>
          <w:p>
            <w:pPr>
              <w:jc w:val="center"/>
              <w:ind w:left="305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3"/>
        </w:trPr>
        <w:tc>
          <w:tcPr>
            <w:tcW w:w="420" w:type="dxa"/>
            <w:vAlign w:val="bottom"/>
          </w:tcPr>
          <w:p>
            <w:pPr>
              <w:spacing w:after="0"/>
              <w:rPr>
                <w:sz w:val="18"/>
                <w:szCs w:val="18"/>
                <w:color w:val="auto"/>
              </w:rPr>
            </w:pPr>
          </w:p>
        </w:tc>
        <w:tc>
          <w:tcPr>
            <w:tcW w:w="8500" w:type="dxa"/>
            <w:vAlign w:val="bottom"/>
            <w:gridSpan w:val="4"/>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COMPREHENSIVE EARNINGS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6"/>
        </w:trPr>
        <w:tc>
          <w:tcPr>
            <w:tcW w:w="420" w:type="dxa"/>
            <w:vAlign w:val="bottom"/>
          </w:tcPr>
          <w:p>
            <w:pPr>
              <w:spacing w:after="0"/>
              <w:rPr>
                <w:sz w:val="20"/>
                <w:szCs w:val="20"/>
                <w:color w:val="auto"/>
              </w:rPr>
            </w:pPr>
          </w:p>
        </w:tc>
        <w:tc>
          <w:tcPr>
            <w:tcW w:w="7280" w:type="dxa"/>
            <w:vAlign w:val="bottom"/>
          </w:tcPr>
          <w:p>
            <w:pPr>
              <w:jc w:val="center"/>
              <w:ind w:left="305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60"/>
        </w:trPr>
        <w:tc>
          <w:tcPr>
            <w:tcW w:w="4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2"/>
                <w:szCs w:val="22"/>
                <w:color w:val="auto"/>
              </w:rPr>
            </w:pPr>
          </w:p>
        </w:tc>
      </w:tr>
      <w:tr>
        <w:trPr>
          <w:trHeight w:val="234"/>
        </w:trPr>
        <w:tc>
          <w:tcPr>
            <w:tcW w:w="420" w:type="dxa"/>
            <w:vAlign w:val="bottom"/>
            <w:tcBorders>
              <w:bottom w:val="single" w:sz="8" w:color="CCEEFF"/>
            </w:tcBorders>
          </w:tcPr>
          <w:p>
            <w:pPr>
              <w:spacing w:after="0"/>
              <w:rPr>
                <w:sz w:val="20"/>
                <w:szCs w:val="20"/>
                <w:color w:val="auto"/>
              </w:rPr>
            </w:pPr>
          </w:p>
        </w:tc>
        <w:tc>
          <w:tcPr>
            <w:tcW w:w="7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2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r>
      <w:tr>
        <w:trPr>
          <w:trHeight w:val="227"/>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0"/>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earnings before tax</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2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0"/>
        </w:trPr>
        <w:tc>
          <w:tcPr>
            <w:tcW w:w="7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20"/>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r>
      <w:tr>
        <w:trPr>
          <w:trHeight w:val="227"/>
        </w:trPr>
        <w:tc>
          <w:tcPr>
            <w:tcW w:w="7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5"/>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Labcorp Holdings Inc.</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0" w:lineRule="exact"/>
        <w:rPr>
          <w:sz w:val="20"/>
          <w:szCs w:val="20"/>
          <w:color w:val="auto"/>
        </w:rPr>
      </w:pPr>
    </w:p>
    <w:p>
      <w:pPr>
        <w:jc w:val="center"/>
        <w:ind w:left="340" w:right="2380"/>
        <w:spacing w:after="0" w:line="272" w:lineRule="auto"/>
        <w:rPr>
          <w:sz w:val="20"/>
          <w:szCs w:val="20"/>
          <w:color w:val="auto"/>
        </w:rPr>
      </w:pPr>
      <w:r>
        <w:rPr>
          <w:rFonts w:ascii="Times New Roman" w:cs="Times New Roman" w:eastAsia="Times New Roman" w:hAnsi="Times New Roman"/>
          <w:sz w:val="18"/>
          <w:szCs w:val="18"/>
          <w:b w:val="1"/>
          <w:bCs w:val="1"/>
          <w:color w:val="auto"/>
        </w:rPr>
        <w:t>LABCORP HOLDINGS INC. AND SUBSIDIARIES CONSOLIDATED STATEMENTS OF CHANGES IN SHAREHOLDERS’ EQUITY (In Millions)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3"/>
        </w:trPr>
        <w:tc>
          <w:tcPr>
            <w:tcW w:w="50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color w:val="auto"/>
              </w:rPr>
              <w:t>Paid-in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108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207"/>
        </w:trPr>
        <w:tc>
          <w:tcPr>
            <w:tcW w:w="5040" w:type="dxa"/>
            <w:vAlign w:val="bottom"/>
          </w:tcPr>
          <w:p>
            <w:pPr>
              <w:spacing w:after="0"/>
              <w:rPr>
                <w:sz w:val="17"/>
                <w:szCs w:val="17"/>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Stock</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Earnings (Loss)</w:t>
            </w:r>
          </w:p>
        </w:tc>
        <w:tc>
          <w:tcPr>
            <w:tcW w:w="160" w:type="dxa"/>
            <w:vAlign w:val="bottom"/>
          </w:tcPr>
          <w:p>
            <w:pPr>
              <w:spacing w:after="0"/>
              <w:rPr>
                <w:sz w:val="17"/>
                <w:szCs w:val="17"/>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10,273.4</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19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8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r>
        <w:trPr>
          <w:trHeight w:val="20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10,096.6</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Fortrea Holdings Inc. spin-off</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(1,732.0)</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20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0" w:type="dxa"/>
            <w:vAlign w:val="bottom"/>
          </w:tcPr>
          <w:p>
            <w:pPr>
              <w:spacing w:after="0"/>
              <w:rPr>
                <w:sz w:val="1"/>
                <w:szCs w:val="1"/>
                <w:color w:val="auto"/>
              </w:rPr>
            </w:pPr>
          </w:p>
        </w:tc>
      </w:tr>
      <w:tr>
        <w:trPr>
          <w:trHeight w:val="20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8,303.4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8,052.2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58"/>
        </w:trPr>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780" w:type="dxa"/>
            <w:vAlign w:val="bottom"/>
          </w:tcPr>
          <w:p>
            <w:pPr>
              <w:jc w:val="center"/>
              <w:ind w:left="255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780" w:type="dxa"/>
            <w:vAlign w:val="bottom"/>
          </w:tcPr>
          <w:p>
            <w:pPr>
              <w:jc w:val="center"/>
              <w:ind w:left="255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780" w:type="dxa"/>
            <w:vAlign w:val="bottom"/>
          </w:tcPr>
          <w:p>
            <w:pPr>
              <w:jc w:val="center"/>
              <w:ind w:left="253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7"/>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(increase) in unbilled services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in supplies inventory</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payable</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increase in unearned revenue</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r>
      <w:tr>
        <w:trPr>
          <w:trHeight w:val="220"/>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discontinued operating activities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0"/>
        </w:trPr>
        <w:tc>
          <w:tcPr>
            <w:tcW w:w="40" w:type="dxa"/>
            <w:vAlign w:val="bottom"/>
          </w:tcPr>
          <w:p>
            <w:pPr>
              <w:spacing w:after="0"/>
              <w:rPr>
                <w:sz w:val="19"/>
                <w:szCs w:val="19"/>
                <w:color w:val="auto"/>
              </w:rPr>
            </w:pPr>
          </w:p>
        </w:tc>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1,955.9</w:t>
            </w:r>
          </w:p>
        </w:tc>
      </w:tr>
      <w:tr>
        <w:trPr>
          <w:trHeight w:val="220"/>
        </w:trPr>
        <w:tc>
          <w:tcPr>
            <w:tcW w:w="4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investments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or distribution of investments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exit from swaps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40" w:type="dxa"/>
            <w:vAlign w:val="bottom"/>
          </w:tcPr>
          <w:p>
            <w:pPr>
              <w:spacing w:after="0"/>
              <w:rPr>
                <w:sz w:val="19"/>
                <w:szCs w:val="19"/>
                <w:color w:val="auto"/>
              </w:rPr>
            </w:pPr>
          </w:p>
        </w:tc>
        <w:tc>
          <w:tcPr>
            <w:tcW w:w="8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r>
      <w:tr>
        <w:trPr>
          <w:trHeight w:val="220"/>
        </w:trPr>
        <w:tc>
          <w:tcPr>
            <w:tcW w:w="4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continuing investing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for discontinued investing activities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0"/>
        </w:trPr>
        <w:tc>
          <w:tcPr>
            <w:tcW w:w="40" w:type="dxa"/>
            <w:vAlign w:val="bottom"/>
          </w:tcPr>
          <w:p>
            <w:pPr>
              <w:spacing w:after="0"/>
              <w:rPr>
                <w:sz w:val="19"/>
                <w:szCs w:val="19"/>
                <w:color w:val="auto"/>
              </w:rPr>
            </w:pPr>
          </w:p>
        </w:tc>
        <w:tc>
          <w:tcPr>
            <w:tcW w:w="8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w:t>
            </w:r>
          </w:p>
        </w:tc>
      </w:tr>
      <w:tr>
        <w:trPr>
          <w:trHeight w:val="220"/>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senior note offerings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Payments on senior notes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accounts receivable securitization</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7"/>
        </w:trPr>
        <w:tc>
          <w:tcPr>
            <w:tcW w:w="40" w:type="dxa"/>
            <w:vAlign w:val="bottom"/>
          </w:tcPr>
          <w:p>
            <w:pPr>
              <w:spacing w:after="0"/>
              <w:rPr>
                <w:sz w:val="19"/>
                <w:szCs w:val="19"/>
                <w:color w:val="auto"/>
              </w:rPr>
            </w:pPr>
          </w:p>
        </w:tc>
        <w:tc>
          <w:tcPr>
            <w:tcW w:w="8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0"/>
        </w:trPr>
        <w:tc>
          <w:tcPr>
            <w:tcW w:w="4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continuing financing activities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discontinued financing activities</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0" w:type="dxa"/>
            <w:vAlign w:val="bottom"/>
          </w:tcPr>
          <w:p>
            <w:pPr>
              <w:spacing w:after="0"/>
              <w:rPr>
                <w:sz w:val="19"/>
                <w:szCs w:val="19"/>
                <w:color w:val="auto"/>
              </w:rPr>
            </w:pPr>
          </w:p>
        </w:tc>
        <w:tc>
          <w:tcPr>
            <w:tcW w:w="8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20"/>
        </w:trPr>
        <w:tc>
          <w:tcPr>
            <w:tcW w:w="40" w:type="dxa"/>
            <w:vAlign w:val="bottom"/>
          </w:tcPr>
          <w:p>
            <w:pPr>
              <w:spacing w:after="0"/>
              <w:rPr>
                <w:sz w:val="19"/>
                <w:szCs w:val="19"/>
                <w:color w:val="auto"/>
              </w:rPr>
            </w:pPr>
          </w:p>
        </w:tc>
        <w:tc>
          <w:tcPr>
            <w:tcW w:w="8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0"/>
        </w:trPr>
        <w:tc>
          <w:tcPr>
            <w:tcW w:w="4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w:t>
            </w:r>
          </w:p>
        </w:tc>
      </w:tr>
      <w:tr>
        <w:trPr>
          <w:trHeight w:val="227"/>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27"/>
        </w:trPr>
        <w:tc>
          <w:tcPr>
            <w:tcW w:w="40" w:type="dxa"/>
            <w:vAlign w:val="bottom"/>
          </w:tcPr>
          <w:p>
            <w:pPr>
              <w:spacing w:after="0"/>
              <w:rPr>
                <w:sz w:val="19"/>
                <w:szCs w:val="19"/>
                <w:color w:val="auto"/>
              </w:rPr>
            </w:pPr>
          </w:p>
        </w:tc>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of discontinued operations at the end of the period</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0"/>
        </w:trPr>
        <w:tc>
          <w:tcPr>
            <w:tcW w:w="40" w:type="dxa"/>
            <w:vAlign w:val="bottom"/>
          </w:tcPr>
          <w:p>
            <w:pPr>
              <w:spacing w:after="0"/>
              <w:rPr>
                <w:sz w:val="19"/>
                <w:szCs w:val="19"/>
                <w:color w:val="auto"/>
              </w:rPr>
            </w:pPr>
          </w:p>
        </w:tc>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06" w:right="35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96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320" w:firstLine="7"/>
        <w:spacing w:after="0" w:line="396" w:lineRule="auto"/>
        <w:tabs>
          <w:tab w:leader="none" w:pos="267"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Financial Statement Presentation</w:t>
      </w:r>
    </w:p>
    <w:p>
      <w:pPr>
        <w:spacing w:after="0" w:line="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Labcorp® Holdings Inc. (Labcorp, LHI,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 With nearly 70,000 employees, the Company serves clients in approximately 100 countries.</w:t>
      </w:r>
    </w:p>
    <w:p>
      <w:pPr>
        <w:spacing w:after="0" w:line="8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April 25, 2024, Laboratory Corporation of America Holdings (LCAH) announced plans to implement a new public holding company structure, with Labcorp as the holding company. On May 17, 2024, the Company completed the holding company reorganization (Reorganization) and became the successor issuer. Labcorp Holdings Inc. has no independent assets or operations and its sole ownership interest is in LCAH.</w:t>
      </w:r>
    </w:p>
    <w:p>
      <w:pPr>
        <w:spacing w:after="0" w:line="9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reports its business in two segments, Labcorp Diagnostics (Dx) and Biopharma Laboratory Services (BLS), consisting of Early Development Research Laboratories (ED) and Central Laboratory Services. In 2024, Dx and BLS contributed 78% and 22%, respectively, of revenues to the Company, and in 2023 contributed 77% and 23%, respectively.</w:t>
      </w:r>
    </w:p>
    <w:p>
      <w:pPr>
        <w:spacing w:after="0" w:line="83" w:lineRule="exact"/>
        <w:rPr>
          <w:sz w:val="20"/>
          <w:szCs w:val="20"/>
          <w:color w:val="auto"/>
        </w:rPr>
      </w:pPr>
    </w:p>
    <w:p>
      <w:pPr>
        <w:jc w:val="both"/>
        <w:ind w:firstLine="280"/>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variable interest entities or special purpose entities whose financial results are not included in these Consolidated Financial Statements.</w:t>
      </w:r>
    </w:p>
    <w:p>
      <w:pPr>
        <w:spacing w:after="0" w:line="93"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96"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On June 30, 2023, the Company completed the separation (Spin-off) of Fortrea Holdings Inc. (Fortrea), formerly the Company’s Clinical Development and Commercialization Services (CDCS) business, into a separate, publicly traded company. All current and historical operating results of Fortrea are presented as Earnings from discontinued operations, net of tax, in the Consolidated Statements of Operations. As a result of the Spin-off, the Company recast segment results to exclude the historical results of the CDCS business for all periods presented. The remaining operations of the previously reported Drug Development segment has been renamed the BLS segment.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Reimbursable Out-of-Pocket Expenses</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BLS pays on behalf of its customers certain out-of-pocket costs for which the Company is reimbursed at cost, without mark-up or profit. Out-of-pocket costs paid by BLS are reflected in Cost of revenues in the Consolidated Statements of Operations, while the reimbursements received are reflected in Revenues in the Consolidated Statements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Cost of revenue includes direct labor and related benefit charges, reimbursable expenses, other direct costs, shipping and handling fees, and an allocation of facility charges and information technology costs.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4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administrative payroll and related benefit charges, administrative travel, and an allocation of facility charges and information technology costs.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4"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(U.S.),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implicit price concessions, revenue estimates, the allowance for credit losses, deferred tax assets, fair values of acquired assets and assumed liabilities in business combinations, fair value of goodwill and indefinite-lived intangible assets, amortization lives for acquired intangible assets, and accruals for self-insurance reserves, litigation reserves and pensions. Actual results could materially differ from those estimates.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31"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w:t>
      </w:r>
    </w:p>
    <w:p>
      <w:pPr>
        <w:spacing w:after="0" w:line="8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believes all financial institutions holding its cash are of high credit quality and does not believe the Company is subject to unusual credit risk beyond the normal credit risk associated with commercial banking relationships. The total Cash and cash equivalent balances that exceeded the balances insured by the Federal Deposit Insurance Commission, were approximately $1,516.0 and $534.7 at December 31, 2024, and 2023, respectively.</w:t>
      </w:r>
    </w:p>
    <w:p>
      <w:pPr>
        <w:spacing w:after="0" w:line="87"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Substantially all of the Company’s accounts receivable are with companies in the healthcare or pharmaceutical industry and individuals. However, concentrations of credit risk are mitigated due to the number of the Company’s customers as well as their dispersion across many different geographic regions.</w:t>
      </w:r>
    </w:p>
    <w:p>
      <w:pPr>
        <w:spacing w:after="0" w:line="83"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Although Dx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$97.4 and $86.5 at December 31, 2024, and 2023, respectively.</w:t>
      </w:r>
    </w:p>
    <w:p>
      <w:pPr>
        <w:spacing w:after="0" w:line="96" w:lineRule="exact"/>
        <w:rPr>
          <w:sz w:val="20"/>
          <w:szCs w:val="20"/>
          <w:color w:val="auto"/>
        </w:rPr>
      </w:pPr>
    </w:p>
    <w:p>
      <w:pPr>
        <w:jc w:val="both"/>
        <w:ind w:firstLine="280"/>
        <w:spacing w:after="0" w:line="252" w:lineRule="auto"/>
        <w:rPr>
          <w:sz w:val="20"/>
          <w:szCs w:val="20"/>
          <w:color w:val="auto"/>
        </w:rPr>
      </w:pPr>
      <w:r>
        <w:rPr>
          <w:rFonts w:ascii="Times New Roman" w:cs="Times New Roman" w:eastAsia="Times New Roman" w:hAnsi="Times New Roman"/>
          <w:sz w:val="18"/>
          <w:szCs w:val="18"/>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capitated accounts receivable balance from the Ontario government sponsored healthcare plan was Canadian Dollar 6.4 and 5.5 at December 31, 2024, and 2023, respectively.</w:t>
      </w:r>
    </w:p>
    <w:p>
      <w:pPr>
        <w:spacing w:after="0" w:line="9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portion of the Company’s accounts receivable due from patients comprises the largest portion of credit risk. At December 31, 2024, and 2023, receivables due from patients represented approximately 24.5% and 20.4% of the Company’s consolidated gross accounts receivable, respectively. The Company applies assumptions and judgments including historical collection experience and reasonable and supportable forecasts for assessing collectability and determining the allowance for credit losses for accounts receivable from patients.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44"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earnings attributable to Labcorp Holdings Inc. by the weighted-average number of common shares outstanding. Diluted earnings per common share (Diluted EPS) is computed by dividing Net earnings attributable to Labcorp Holdings Inc., and if applicable, including the impact of dilutive adjustments by the weighted-average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and performance share awards.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represents a reconciliation of Basic EPS to Diluted EPS:</w:t>
      </w:r>
    </w:p>
    <w:p>
      <w:pPr>
        <w:spacing w:after="0" w:line="43"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line="295" w:lineRule="auto"/>
        <w:rPr>
          <w:sz w:val="20"/>
          <w:szCs w:val="20"/>
          <w:color w:val="auto"/>
        </w:rPr>
      </w:pPr>
      <w:r>
        <w:rPr>
          <w:rFonts w:ascii="Times New Roman" w:cs="Times New Roman" w:eastAsia="Times New Roman" w:hAnsi="Times New Roman"/>
          <w:sz w:val="16"/>
          <w:szCs w:val="16"/>
          <w:color w:val="auto"/>
        </w:rPr>
        <w:t>Net earnings attributable to LHI Weighted-average common shares outstanding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Per common share amount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54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5"/>
                <w:szCs w:val="15"/>
                <w:color w:val="auto"/>
              </w:rPr>
            </w:pPr>
          </w:p>
        </w:tc>
        <w:tc>
          <w:tcPr>
            <w:tcW w:w="980" w:type="dxa"/>
            <w:vAlign w:val="bottom"/>
            <w:gridSpan w:val="3"/>
          </w:tcPr>
          <w:p>
            <w:pPr>
              <w:jc w:val="center"/>
              <w:ind w:right="120"/>
              <w:spacing w:after="0" w:line="174" w:lineRule="exact"/>
              <w:rPr>
                <w:sz w:val="20"/>
                <w:szCs w:val="20"/>
                <w:color w:val="auto"/>
              </w:rPr>
            </w:pPr>
            <w:r>
              <w:rPr>
                <w:rFonts w:ascii="Times New Roman" w:cs="Times New Roman" w:eastAsia="Times New Roman" w:hAnsi="Times New Roman"/>
                <w:sz w:val="16"/>
                <w:szCs w:val="16"/>
                <w:color w:val="auto"/>
              </w:rPr>
              <w:t>Dilutive</w:t>
            </w:r>
          </w:p>
        </w:tc>
        <w:tc>
          <w:tcPr>
            <w:tcW w:w="700" w:type="dxa"/>
            <w:vAlign w:val="bottom"/>
            <w:gridSpan w:val="2"/>
          </w:tcPr>
          <w:p>
            <w:pPr>
              <w:jc w:val="center"/>
              <w:ind w:right="180"/>
              <w:spacing w:after="0" w:line="174" w:lineRule="exact"/>
              <w:rPr>
                <w:sz w:val="20"/>
                <w:szCs w:val="20"/>
                <w:color w:val="auto"/>
              </w:rPr>
            </w:pPr>
            <w:r>
              <w:rPr>
                <w:rFonts w:ascii="Times New Roman" w:cs="Times New Roman" w:eastAsia="Times New Roman" w:hAnsi="Times New Roman"/>
                <w:sz w:val="16"/>
                <w:szCs w:val="16"/>
                <w:color w:val="auto"/>
                <w:w w:val="99"/>
              </w:rPr>
              <w:t>Diluted</w:t>
            </w:r>
          </w:p>
        </w:tc>
        <w:tc>
          <w:tcPr>
            <w:tcW w:w="140" w:type="dxa"/>
            <w:vAlign w:val="bottom"/>
          </w:tcPr>
          <w:p>
            <w:pPr>
              <w:spacing w:after="0"/>
              <w:rPr>
                <w:sz w:val="15"/>
                <w:szCs w:val="15"/>
                <w:color w:val="auto"/>
              </w:rPr>
            </w:pPr>
          </w:p>
        </w:tc>
        <w:tc>
          <w:tcPr>
            <w:tcW w:w="54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5"/>
                <w:szCs w:val="15"/>
                <w:color w:val="auto"/>
              </w:rPr>
            </w:pPr>
          </w:p>
        </w:tc>
        <w:tc>
          <w:tcPr>
            <w:tcW w:w="980" w:type="dxa"/>
            <w:vAlign w:val="bottom"/>
            <w:gridSpan w:val="3"/>
          </w:tcPr>
          <w:p>
            <w:pPr>
              <w:jc w:val="center"/>
              <w:ind w:right="140"/>
              <w:spacing w:after="0" w:line="174" w:lineRule="exact"/>
              <w:rPr>
                <w:sz w:val="20"/>
                <w:szCs w:val="20"/>
                <w:color w:val="auto"/>
              </w:rPr>
            </w:pPr>
            <w:r>
              <w:rPr>
                <w:rFonts w:ascii="Times New Roman" w:cs="Times New Roman" w:eastAsia="Times New Roman" w:hAnsi="Times New Roman"/>
                <w:sz w:val="16"/>
                <w:szCs w:val="16"/>
                <w:color w:val="auto"/>
                <w:w w:val="99"/>
              </w:rPr>
              <w:t>Dilutive</w:t>
            </w:r>
          </w:p>
        </w:tc>
        <w:tc>
          <w:tcPr>
            <w:tcW w:w="7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6"/>
                <w:szCs w:val="16"/>
                <w:color w:val="auto"/>
                <w:w w:val="99"/>
              </w:rPr>
              <w:t>Diluted</w:t>
            </w:r>
          </w:p>
        </w:tc>
        <w:tc>
          <w:tcPr>
            <w:tcW w:w="100" w:type="dxa"/>
            <w:vAlign w:val="bottom"/>
          </w:tcPr>
          <w:p>
            <w:pPr>
              <w:spacing w:after="0"/>
              <w:rPr>
                <w:sz w:val="15"/>
                <w:szCs w:val="15"/>
                <w:color w:val="auto"/>
              </w:rPr>
            </w:pP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8"/>
              </w:rPr>
              <w:t>Basic EPS</w:t>
            </w:r>
          </w:p>
        </w:tc>
        <w:tc>
          <w:tcPr>
            <w:tcW w:w="100" w:type="dxa"/>
            <w:vAlign w:val="bottom"/>
          </w:tcPr>
          <w:p>
            <w:pPr>
              <w:spacing w:after="0"/>
              <w:rPr>
                <w:sz w:val="15"/>
                <w:szCs w:val="15"/>
                <w:color w:val="auto"/>
              </w:rPr>
            </w:pPr>
          </w:p>
        </w:tc>
        <w:tc>
          <w:tcPr>
            <w:tcW w:w="86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6"/>
                <w:szCs w:val="16"/>
                <w:color w:val="auto"/>
              </w:rPr>
              <w:t>Dilutive</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Diluted EPS</w:t>
            </w: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EPS</w:t>
            </w:r>
          </w:p>
        </w:tc>
        <w:tc>
          <w:tcPr>
            <w:tcW w:w="10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7"/>
              </w:rPr>
              <w:t>Effect</w:t>
            </w: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EPS</w:t>
            </w:r>
          </w:p>
        </w:tc>
        <w:tc>
          <w:tcPr>
            <w:tcW w:w="14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EPS</w:t>
            </w:r>
          </w:p>
        </w:tc>
        <w:tc>
          <w:tcPr>
            <w:tcW w:w="10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7"/>
              </w:rPr>
              <w:t>Effect</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EPS</w:t>
            </w: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Effect</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1,279.1</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1,279.1</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23"/>
        </w:trPr>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-448310</wp:posOffset>
            </wp:positionV>
            <wp:extent cx="7134225" cy="144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-168910</wp:posOffset>
            </wp:positionV>
            <wp:extent cx="7134225" cy="152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580"/>
            <w:col w:w="7640"/>
          </w:cols>
          <w:pgMar w:left="320" w:top="121" w:right="339" w:bottom="1440" w:gutter="0" w:footer="0" w:header="0"/>
          <w:type w:val="continuous"/>
        </w:sectPr>
      </w:pPr>
    </w:p>
    <w:p>
      <w:pPr>
        <w:spacing w:after="0" w:line="115" w:lineRule="exact"/>
        <w:rPr>
          <w:sz w:val="20"/>
          <w:szCs w:val="20"/>
          <w:color w:val="auto"/>
        </w:rPr>
      </w:pPr>
    </w:p>
    <w:p>
      <w:pPr>
        <w:jc w:val="both"/>
        <w:ind w:firstLine="280"/>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EPS because their impact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34"/>
        </w:trPr>
        <w:tc>
          <w:tcPr>
            <w:tcW w:w="7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gridSpan w:val="3"/>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8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0.2</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Plans</w:t>
      </w:r>
    </w:p>
    <w:p>
      <w:pPr>
        <w:spacing w:after="0" w:line="13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measures stock compensation cost for all equity awards at fair value on the date of grant and recognizes compensation expense over the service period for awards expected to vest. The fair value of restricted stock units is determined based on the number of shares granted and the quoted price of the Company’s Common Stock on the grant date. To estimate the fair value of stock option awards, the Black-Scholes model is used, which relies on various key assumptions, including risk-free interest rate, expected term, and expected volatility. The grant date fair value of performance awards is based on a Monte Carlo simulated fair value for the relative (as compared to the peer companies) total shareholder return component of the performance awards. Such value is recognized as an expense over the service period and the Company’s determination of whether it is probable that the performance targets will be achieved. At the end of each reporting period, the Company reassesses the probability of achieving performance targets. Forfeitures are recognized as a reduction of compensation expense in earnings in the period in which they occur.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Cash and cash equivalents consist of highly liquid instruments, such as commercial paper, time deposits, and other money market instruments, which have maturities when purchased of three months or less.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Supplies Inventory</w:t>
      </w:r>
    </w:p>
    <w:p>
      <w:pPr>
        <w:spacing w:after="0" w:line="14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Supplies inventory, consisting primarily of purchased laboratory and customer supplies and finished goods, are stated at the lower of cost (first-in, first-out) or net realizable value. Supplies accounted for $384.2 and $385.1 and finished goods accounted for $109.0 and $89.5 of total Supplies inventory at December 31, 2024, and 2023, respectively. The Company’s inventory reserve balance was $43.8 and $66.1, as of December 31, 2024, and 2023,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31"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and amortization expense is computed on all classes of assets based on their estimated useful lives using the straight-line method.</w:t>
      </w:r>
    </w:p>
    <w:p>
      <w:pPr>
        <w:spacing w:after="0" w:line="83"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47"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144"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software costs are included in Property, plant and equipment, net within the Consolidated Balance Sheets and are mainly comprised of direct material and service costs and payroll and payroll-related costs. Computer software maintenance costs related to software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development are expensed as incurred. Capitalized software costs are amortized using the straight-line method over the estimated useful life of the underlying system ranging from three to fifteen years, generally five years. Amortization begins once the underlying system is substantially complete and ready for its intended use.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3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 assets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9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offerings provided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05"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9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performed its annual goodwill and indefinite-lived intangible asset impairment testing as of the beginning of the fourth quarter of 2024. The Company elected to perform a quantitative assessment for goodwill and indefinite-lived intangible assets for each of its reporting units. Based upon the results of the quantitative assessments, the Company concluded that the fair values of each of its reporting units, as of October 1, 2024, were greater than the carrying values.</w:t>
      </w:r>
    </w:p>
    <w:p>
      <w:pPr>
        <w:spacing w:after="0" w:line="8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w:t>
      </w:r>
    </w:p>
    <w:p>
      <w:pPr>
        <w:spacing w:after="0" w:line="10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Intangible assets with finite lives are amortized on a straight-line basis over the expected periods to be benefited such as legal life for patents and technology, contractual lives for non-compete agreements and customer relationships.</w:t>
      </w:r>
    </w:p>
    <w:p>
      <w:pPr>
        <w:spacing w:after="0" w:line="8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Intangible assets with finite lives are reviewed for impairment whenever events or changes in circumstances indicate that the carrying amounts may not be recoverable. If the carrying value is no longer recoverable based upon the undiscounted future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ind w:right="1960"/>
        <w:spacing w:after="0" w:line="394" w:lineRule="auto"/>
        <w:rPr>
          <w:sz w:val="20"/>
          <w:szCs w:val="20"/>
          <w:color w:val="auto"/>
        </w:rPr>
      </w:pPr>
      <w:r>
        <w:rPr>
          <w:rFonts w:ascii="Times New Roman" w:cs="Times New Roman" w:eastAsia="Times New Roman" w:hAnsi="Times New Roman"/>
          <w:sz w:val="18"/>
          <w:szCs w:val="18"/>
          <w:color w:val="auto"/>
        </w:rPr>
        <w:t xml:space="preserve">cash flows of the asset, the amount of the impairment is the difference between the carrying amount and the fair value of the asset. </w:t>
      </w:r>
      <w:r>
        <w:rPr>
          <w:rFonts w:ascii="Times New Roman" w:cs="Times New Roman" w:eastAsia="Times New Roman" w:hAnsi="Times New Roman"/>
          <w:sz w:val="18"/>
          <w:szCs w:val="18"/>
          <w:b w:val="1"/>
          <w:bCs w:val="1"/>
          <w:color w:val="auto"/>
        </w:rPr>
        <w:t>Debt Issuance Costs</w:t>
      </w:r>
    </w:p>
    <w:p>
      <w:pPr>
        <w:spacing w:after="0" w:line="1" w:lineRule="exact"/>
        <w:rPr>
          <w:sz w:val="20"/>
          <w:szCs w:val="20"/>
          <w:color w:val="auto"/>
        </w:rPr>
      </w:pPr>
    </w:p>
    <w:p>
      <w:pPr>
        <w:jc w:val="both"/>
        <w:ind w:right="20" w:firstLine="280"/>
        <w:spacing w:after="0" w:line="277" w:lineRule="auto"/>
        <w:rPr>
          <w:sz w:val="20"/>
          <w:szCs w:val="20"/>
          <w:color w:val="auto"/>
        </w:rPr>
      </w:pPr>
      <w:r>
        <w:rPr>
          <w:rFonts w:ascii="Times New Roman" w:cs="Times New Roman" w:eastAsia="Times New Roman" w:hAnsi="Times New Roman"/>
          <w:sz w:val="18"/>
          <w:szCs w:val="18"/>
          <w:color w:val="auto"/>
        </w:rPr>
        <w:t>The costs related to the issuance of debt are capitalized, netted against the related debt for presentation purposes and amortized to interest expense over the terms of the related debt.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Liability</w:t>
      </w:r>
    </w:p>
    <w:p>
      <w:pPr>
        <w:spacing w:after="0" w:line="144" w:lineRule="exact"/>
        <w:rPr>
          <w:sz w:val="20"/>
          <w:szCs w:val="20"/>
          <w:color w:val="auto"/>
        </w:rPr>
      </w:pPr>
    </w:p>
    <w:p>
      <w:pPr>
        <w:jc w:val="both"/>
        <w:ind w:firstLine="280"/>
        <w:spacing w:after="0" w:line="284" w:lineRule="auto"/>
        <w:rPr>
          <w:sz w:val="20"/>
          <w:szCs w:val="20"/>
          <w:color w:val="auto"/>
        </w:rPr>
      </w:pPr>
      <w:r>
        <w:rPr>
          <w:rFonts w:ascii="Times New Roman" w:cs="Times New Roman" w:eastAsia="Times New Roman" w:hAnsi="Times New Roman"/>
          <w:sz w:val="17"/>
          <w:szCs w:val="17"/>
          <w:color w:val="auto"/>
        </w:rPr>
        <w:t>The Company is self-insured (up to certain limits) for professional liability claims arising in the normal course of business, generally related to laboratory testing and reporting of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31"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All leases with a lease term greater than 12 months are recorded as an obligation on the balance sheet with a corresponding right-of-use (ROU) asset. Both finance and operating leases are reflected as liabilities on the commencement date of the lease based on the present value of the lease payments to be made over the lease term. Right-of-use assets are valued at the initial measurement of the lease liability, plus any initial direct costs or rent prepayments, minus lease incentives and any deferred lease payments. The classification will determine whether lease expense is recognized based on an effective interest method or on a straight-line basis over the term of the lease.</w:t>
      </w:r>
    </w:p>
    <w:p>
      <w:pPr>
        <w:spacing w:after="0" w:line="10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 certain number of these leases contain rent escalation clauses either fixed or adjusted periodically for inflation or market rates that are factored into the Company’s determination of lease payments. The Company also has variable lease payments that do not depend on a rate or index, for items such as volume purchase commitments, which are recorded as variable cost when incurred. As most of the Company’s leases do not provide an implicit rate, the Company estimates an incremental borrowing rate based on the credit quality of the Company and by comparing interest rates available in the market for similar borrowings,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and the Company evaluates each renewal option to determine if it is reasonably possible to be exercised and should be included in the accounting lease term.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1" w:lineRule="exact"/>
        <w:rPr>
          <w:sz w:val="20"/>
          <w:szCs w:val="20"/>
          <w:color w:val="auto"/>
        </w:rPr>
      </w:pPr>
    </w:p>
    <w:p>
      <w:pPr>
        <w:jc w:val="both"/>
        <w:ind w:firstLine="280"/>
        <w:spacing w:after="0" w:line="268" w:lineRule="auto"/>
        <w:rPr>
          <w:sz w:val="20"/>
          <w:szCs w:val="20"/>
          <w:color w:val="auto"/>
        </w:rPr>
      </w:pPr>
      <w:r>
        <w:rPr>
          <w:rFonts w:ascii="Times New Roman" w:cs="Times New Roman" w:eastAsia="Times New Roman" w:hAnsi="Times New Roman"/>
          <w:sz w:val="17"/>
          <w:szCs w:val="17"/>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Provision for income taxes in the Consolidated Statements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31"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The Company does not hold or issue derivative financial instruments for trading purposes. The Company does not believe that its exposure to market risk is material to the Company’s financial position or results of operations.</w:t>
      </w:r>
    </w:p>
    <w:p>
      <w:pPr>
        <w:spacing w:after="0" w:line="87"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7"/>
          <w:szCs w:val="17"/>
          <w:color w:val="auto"/>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Company’s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accordingly, there is no impact to the Company’s Consolidated Statements of Operations. Cash flows from the interest rate swaps are including in operating activities within the Consolidated Statements of Cash Flows.</w:t>
      </w:r>
    </w:p>
    <w:p>
      <w:pPr>
        <w:spacing w:after="0" w:line="8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Cross currency swap agreements, which have been used by the Company to hedge the foreign currency exposure of its net investment in a foreign subsidiary denominated in non-U.S. currency, are accounted for at fair value.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Foreign currency translation adjustments within the Consolidated Statements of Comprehensive Earnings.</w:t>
      </w:r>
    </w:p>
    <w:p>
      <w:pPr>
        <w:spacing w:after="0" w:line="92"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Foreign currency forward contracts, which have been used by the Company to hedge foreign currency receivables,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4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13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earnings in the Consolidated Statements of Comprehensive Earnings and Consolidated Statements of Changes in Shareholders’ Equity. Transaction gains and losses are included in the determination of Net earnings in the Consolidated Statements of Operations.</w:t>
      </w:r>
    </w:p>
    <w:p>
      <w:pPr>
        <w:spacing w:after="0" w:line="10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3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June 30, 2023 (the Distribution Date), Labcorp completed the previously announced separation from the Company of Fortrea, formerly the Company’s CDCS business, into a separate, publicly traded company. All historical operating results of Fortrea are presented as Earnings from discontinued operations, net of tax, in the Consolidated Statements of Operations. The Spin-off is expected to be treated as tax-free for the Company and its shareholders for U.S. federal income tax purposes.</w:t>
      </w:r>
    </w:p>
    <w:p>
      <w:pPr>
        <w:spacing w:after="0" w:line="8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Spin-off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w:t>
      </w:r>
    </w:p>
    <w:p>
      <w:pPr>
        <w:spacing w:after="0" w:line="9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connection with the Spin-off, the Company entered into several agreements with Fortrea on or prior to the Distribution Date that, among other things, provide a framework for the Company’s relationship with Fortrea after the Spin-off, including a separation and distribution agreement, a tax matters agreement, an employee matters agreement, and a transition services agreement. These agreements contain the key provisions relating to the Spin-off, including provisions relating to the principal intercompany transactions required to effect the Spin-off, the conditions to the Spin-off and provisions governing the relationship between Fortrea and the Company after the Spin-off. The costs to provide these services are included in Operating income and the service fees earned are included in Other, net in the Consolidated Statements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of Discontinued Operations</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Earnings from discontinued operations, net of tax in the Consolidated Statements of Operations reflect the after-tax results of Fortrea’s business and Spin-off-related fees, and do not include any allocation of general corporate overhead expense or interest expense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the significant line items included in Earnings from discontinued operations, net of tax in the Consolidated Statements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years ended December 31, 2023, and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60" w:type="dxa"/>
            <w:vAlign w:val="bottom"/>
          </w:tcPr>
          <w:p>
            <w:pPr>
              <w:spacing w:after="0"/>
              <w:rPr>
                <w:sz w:val="21"/>
                <w:szCs w:val="21"/>
                <w:color w:val="auto"/>
              </w:rPr>
            </w:pPr>
          </w:p>
        </w:tc>
        <w:tc>
          <w:tcPr>
            <w:tcW w:w="284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1"/>
                <w:szCs w:val="21"/>
                <w:color w:val="auto"/>
              </w:rPr>
            </w:pPr>
          </w:p>
        </w:tc>
      </w:tr>
      <w:tr>
        <w:trPr>
          <w:trHeight w:val="234"/>
        </w:trPr>
        <w:tc>
          <w:tcPr>
            <w:tcW w:w="77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1,506.6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r>
      <w:tr>
        <w:trPr>
          <w:trHeight w:val="227"/>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1,244.5</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w:t>
            </w:r>
          </w:p>
        </w:tc>
      </w:tr>
      <w:tr>
        <w:trPr>
          <w:trHeight w:val="220"/>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0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7"/>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(expense)</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7"/>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27"/>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Revenues</w:t>
      </w:r>
    </w:p>
    <w:p>
      <w:pPr>
        <w:spacing w:after="0" w:line="13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Dx attributes revenues to a geographical region based upon where the diagnostic test is performed, while BLS attributes revenues to a geographical region based upon where the services are performed. The Company’s revenue by segment payers/customer groups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right w:val="single" w:sz="8" w:color="auto"/>
            </w:tcBorders>
          </w:tcPr>
          <w:p>
            <w:pPr>
              <w:spacing w:after="0"/>
              <w:rPr>
                <w:sz w:val="17"/>
                <w:szCs w:val="17"/>
                <w:color w:val="auto"/>
              </w:rPr>
            </w:pPr>
          </w:p>
        </w:tc>
        <w:tc>
          <w:tcPr>
            <w:tcW w:w="2580" w:type="dxa"/>
            <w:vAlign w:val="bottom"/>
            <w:tcBorders>
              <w:top w:val="single" w:sz="8" w:color="auto"/>
              <w:bottom w:val="single" w:sz="8" w:color="auto"/>
            </w:tcBorders>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4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580" w:type="dxa"/>
            <w:vAlign w:val="bottom"/>
            <w:tcBorders>
              <w:top w:val="single" w:sz="8" w:color="auto"/>
              <w:bottom w:val="single" w:sz="8" w:color="auto"/>
            </w:tcBorders>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6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6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620" w:type="dxa"/>
            <w:vAlign w:val="bottom"/>
            <w:tcBorders>
              <w:right w:val="single" w:sz="8" w:color="auto"/>
            </w:tcBorders>
          </w:tcPr>
          <w:p>
            <w:pPr>
              <w:spacing w:after="0"/>
              <w:rPr>
                <w:sz w:val="11"/>
                <w:szCs w:val="11"/>
                <w:color w:val="auto"/>
              </w:rPr>
            </w:pPr>
          </w:p>
        </w:tc>
        <w:tc>
          <w:tcPr>
            <w:tcW w:w="9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North</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1"/>
                <w:szCs w:val="11"/>
                <w:color w:val="auto"/>
              </w:rPr>
            </w:pPr>
          </w:p>
        </w:tc>
        <w:tc>
          <w:tcPr>
            <w:tcW w:w="9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North</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Borders>
              <w:right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1"/>
                <w:szCs w:val="11"/>
                <w:color w:val="auto"/>
              </w:rPr>
            </w:pPr>
          </w:p>
        </w:tc>
        <w:tc>
          <w:tcPr>
            <w:tcW w:w="9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North</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1620" w:type="dxa"/>
            <w:vAlign w:val="bottom"/>
            <w:tcBorders>
              <w:right w:val="single" w:sz="8" w:color="auto"/>
            </w:tcBorders>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82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840" w:type="dxa"/>
            <w:vAlign w:val="bottom"/>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8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2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2"/>
        </w:trPr>
        <w:tc>
          <w:tcPr>
            <w:tcW w:w="16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right w:val="single" w:sz="8" w:color="auto"/>
            </w:tcBorders>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Borders>
              <w:right w:val="single" w:sz="8" w:color="auto"/>
            </w:tcBorders>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right w:val="single" w:sz="8" w:color="auto"/>
            </w:tcBorders>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right w:val="single" w:sz="8" w:color="auto"/>
            </w:tcBorders>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200"/>
        </w:trPr>
        <w:tc>
          <w:tcPr>
            <w:tcW w:w="162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620" w:type="dxa"/>
            <w:vAlign w:val="bottom"/>
            <w:tcBorders>
              <w:right w:val="single" w:sz="8" w:color="auto"/>
            </w:tcBorders>
          </w:tcPr>
          <w:p>
            <w:pPr>
              <w:ind w:left="140"/>
              <w:spacing w:after="0" w:line="133" w:lineRule="exact"/>
              <w:rPr>
                <w:sz w:val="20"/>
                <w:szCs w:val="20"/>
                <w:color w:val="auto"/>
              </w:rPr>
            </w:pPr>
            <w:r>
              <w:rPr>
                <w:rFonts w:ascii="Times New Roman" w:cs="Times New Roman" w:eastAsia="Times New Roman" w:hAnsi="Times New Roman"/>
                <w:sz w:val="14"/>
                <w:szCs w:val="14"/>
                <w:color w:val="auto"/>
              </w:rPr>
              <w:t>Pharmaceutical,</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2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color w:val="auto"/>
              </w:rPr>
              <w:t>biotechnology and medical</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Borders>
              <w:right w:val="single" w:sz="8" w:color="auto"/>
            </w:tcBorders>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Borders>
              <w:right w:val="single" w:sz="8" w:color="auto"/>
            </w:tcBorders>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1"/>
                <w:szCs w:val="11"/>
                <w:color w:val="auto"/>
              </w:rPr>
            </w:pPr>
          </w:p>
        </w:tc>
        <w:tc>
          <w:tcPr>
            <w:tcW w:w="6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5"/>
        </w:trPr>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device companies</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2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620" w:type="dxa"/>
            <w:vAlign w:val="bottom"/>
            <w:tcBorders>
              <w:right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Revenues in the U.S. were $10,858.3 (83.5%), $10,177.7 (83.7%), and $9,930.3 (83.7%) for the years ended December 31, 2024, 2023, and 2022.</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is a description of the current revenue recognition policies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Dx Revenues</w:t>
      </w:r>
    </w:p>
    <w:p>
      <w:pPr>
        <w:spacing w:after="0" w:line="131"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Dx offers a comprehensive menu of frequently requested and specialty diagnostic tests through an integrated network of primary and specialty laboratories across the U.S. In addition to diagnostic testing along with occupational and wellness testing for employers and forensic deoxyribonucleic acid analysis, Dx also offered a range of other testing services.</w:t>
      </w:r>
    </w:p>
    <w:p>
      <w:pPr>
        <w:spacing w:after="0" w:line="8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Within the Dx segment, a majority of the revenue transactions initiated when Dx receives a requisition form to perform a diagnostic test. The information provided on the requisition form is used to determine the party that will be billed for the testing</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performed and the expected reimbursement. Dx recognizes revenue and satisfies its performance obligation for services rendered when the testing process is complete, and the associated results are reported. The Dx segment also enters into agreements that have monthly and non-testing-based fees which are recognized each month as the services are provided.</w:t>
      </w:r>
    </w:p>
    <w:p>
      <w:pPr>
        <w:spacing w:after="0" w:line="9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Revenues are distributed among four payer portfolios: clients, patients, Medicare and Medicaid, and third party. Dx considers negotiated discounts and anticipated adjustments, including historical collection experience for the payer portfolio, when revenues are recorded.</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are descriptions of the Dx payer portfolios: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Clients</w:t>
      </w:r>
    </w:p>
    <w:p>
      <w:pPr>
        <w:spacing w:after="0" w:line="14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Client payers represent the portion of Dx’s revenue related to physicians, hospitals, health systems, accountable care organizations (ACOs), employers, and other entities where payment is received exclusively from the entity ordering the testing service. Generally, client sales are recorded on a fee-for-service basis at Dx’s client list price, less any negotiated discount. A portion of client billing is for laboratory management services, collection kits and other non-testing offerings. In these cases, revenue is recognized when services are rendered or delivered.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129"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This portfolio includes revenue from uninsured patients and member cost-share for insured patients (e.g., coinsurance, deductibles, and non-covered services). Uninsured patients are billed based upon Dx’s patient list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and Medicaid</w:t>
      </w:r>
    </w:p>
    <w:p>
      <w:pPr>
        <w:spacing w:after="0" w:line="12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This portfolio relates to fee-for-service revenue from traditional Medicare and Medicaid programs. Revenue from these programs is based on the fee schedule established by the related government authority. 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Party</w:t>
      </w:r>
    </w:p>
    <w:p>
      <w:pPr>
        <w:spacing w:after="0" w:line="142"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Third party includes revenue related to managed care organizations (MCOs). The majority of Dx’s third-party revenue is reimbursed on a fee-for-service basis. These payers are billed at Dx’s established list price and revenue is recorded net of contractual discounts. The majority of Dx’s MCO sales are recorded based upon contractually negotiated fee schedules with sales for non-contracted MCOs recorded based on historical reimbursement experience.</w:t>
      </w:r>
    </w:p>
    <w:p>
      <w:pPr>
        <w:spacing w:after="0" w:line="6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p>
    <w:p>
      <w:pPr>
        <w:spacing w:after="0" w:line="8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Third-party reimbursement is also received through capitation agreements with MCOs and independent physician associations.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BLS Revenues</w:t>
      </w:r>
    </w:p>
    <w:p>
      <w:pPr>
        <w:spacing w:after="0" w:line="13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BLS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services to be provided. The majority of the segment’s contracts contain a single performance obligation, as the segment provides a significant service of integrating all promises in the contract and the promises are highly interdependent and interrelated with one another. For contracts that include multiple performance obligations, BLS allocates the contract value to the goods and services based on a customer price list, if available. If a price list is not available, BLS will estimate the transaction price using either market prices or an “expected cost plus margin” approach. The total contract value is estimated at the beginning of the contract, and is equal to the amount expected to be billed to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customer. These contracts generally take the form of fixed-price or fee-for-service arrangements subject to pricing adjustments based on changes in scope. 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costs, research model costs, and allocated overhead. The estimate of total costs expected to complete the contract requires significant judgment, and these estimates are reviewed periodically. Any adjustments to the estimates are recognized on a cumulative catch-up basis in the period they become known.</w:t>
      </w:r>
    </w:p>
    <w:p>
      <w:pPr>
        <w:spacing w:after="0" w:line="11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Fee-for-service contracts are typically priced based on transaction volume or time and materials. For volume-based contracts, the contract value is entirely variable, and revenue is recognized as the specific service is completed. For services billed based on time and materials, revenue is recognized using the right to invoice practical expedient.</w:t>
      </w:r>
    </w:p>
    <w:p>
      <w:pPr>
        <w:spacing w:after="0" w:line="8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8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often require payment to BLS of expenses, fees earned to date and, in some cases, a termination fee or a payment to BLS of some portion of the fees or profits that could have been earned by BLS under the contract if it had not been terminated early. Termination fees are included in revenues when services have been performed and realization is assured.</w:t>
      </w:r>
    </w:p>
    <w:p>
      <w:pPr>
        <w:spacing w:after="0" w:line="10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BLS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5 years, depending on the business. For businesses that enter into primarily short-term contracts, BLS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 in the Consolidated Statements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3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Differences in the timing of revenue recognition and associated billing and cash collections result in recording accounts receivable, unbilled services, and unearned revenue in the Consolidated Balance Sheets. Payments received in advance of services being provided are contract liabilities recognized as unearned revenue. Revenue recognized in advance of billing are recognized as unbilled services and the majority of BLS’s unbilled services represent unbilled receivables. Once a customer is invoiced, the contract asset is reduced for the amount billed, and a corresponding accounts receivable is recognized. All contract assets are billable to customers within one year from the respective balance sheet date.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r>
      <w:tr>
        <w:trPr>
          <w:trHeight w:val="234"/>
        </w:trPr>
        <w:tc>
          <w:tcPr>
            <w:tcW w:w="71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128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credit losses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8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128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6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128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2"/>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28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20"/>
                <w:szCs w:val="20"/>
                <w:color w:val="auto"/>
              </w:rPr>
            </w:pPr>
          </w:p>
        </w:tc>
        <w:tc>
          <w:tcPr>
            <w:tcW w:w="6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bl>
    <w:p>
      <w:pPr>
        <w:spacing w:after="0" w:line="10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Revenue recognized during the period that was included in the unearned revenue balance at the beginning of the period, for the years ended December 31, 2024, 2023, and 2022 was $113.0, $78.9, and $99.7,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BLS estimates future expected losses on accounts receivable and unbilled services over the remaining collection period of the instrument. The rollforward for the allowance for credit losses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240" w:type="dxa"/>
            <w:vAlign w:val="bottom"/>
          </w:tcPr>
          <w:p>
            <w:pPr>
              <w:spacing w:after="0"/>
              <w:rPr>
                <w:sz w:val="16"/>
                <w:szCs w:val="16"/>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0"/>
        </w:trPr>
        <w:tc>
          <w:tcPr>
            <w:tcW w:w="7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Receivable</w:t>
            </w: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December 31, 2023</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credit loss expense in the year ended December 31, 2024, was mainly related to the collection risk for specific biotechnology receivable balances.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37" w:lineRule="exact"/>
        <w:rPr>
          <w:sz w:val="20"/>
          <w:szCs w:val="20"/>
          <w:color w:val="auto"/>
        </w:rPr>
      </w:pPr>
    </w:p>
    <w:p>
      <w:pPr>
        <w:ind w:right="7000" w:firstLine="7"/>
        <w:spacing w:after="0" w:line="381" w:lineRule="auto"/>
        <w:tabs>
          <w:tab w:leader="none" w:pos="26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 AND DISPOSITIONS 2024</w:t>
      </w:r>
    </w:p>
    <w:p>
      <w:pPr>
        <w:spacing w:after="0" w:line="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2024, the Company acquired several businesses and related assets for cash of approximately $839.0. These acquisitions consisted of the clinical and outreach businesses of Baystate Medical Center ($120.5), Providence Medical Foundation ($55.1), Westpac Labs, Inc. ($97.7), Invitae Corporation ($240.8), BioReference Health ($237.6), and other business acquisitions ($87.9). The preliminary purchase considerations for these acquisitions were allocated under the acquisition method of accounting to the estimated fair market value of the net assets acquired, including approximately $440.3 in identifiable intangible assets. A residual amount of tax deductible goodwill of approximately $299.9 was recorded as of December 31, 2024. The weighted-average amortization period for non-compete agreements, customer relationships, trade names, and technology assets acquired from these businesses are 5.0, 14.4, 2.0, and 11.0 years, respectively. The purchase price allocations for these acquisitions were preliminary at December 31, 2024. The valuation of acquired assets and assumed liabilities include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Baystate</w:t>
            </w:r>
          </w:p>
        </w:tc>
        <w:tc>
          <w:tcPr>
            <w:tcW w:w="160" w:type="dxa"/>
            <w:vAlign w:val="bottom"/>
          </w:tcPr>
          <w:p>
            <w:pPr>
              <w:spacing w:after="0"/>
              <w:rPr>
                <w:sz w:val="16"/>
                <w:szCs w:val="16"/>
                <w:color w:val="auto"/>
              </w:rPr>
            </w:pPr>
          </w:p>
        </w:tc>
        <w:tc>
          <w:tcPr>
            <w:tcW w:w="94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Providence</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Amounts Acquired</w:t>
            </w: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8"/>
              </w:rPr>
              <w:t>Westpac</w:t>
            </w:r>
          </w:p>
        </w:tc>
        <w:tc>
          <w:tcPr>
            <w:tcW w:w="160" w:type="dxa"/>
            <w:vAlign w:val="bottom"/>
          </w:tcPr>
          <w:p>
            <w:pPr>
              <w:spacing w:after="0"/>
              <w:rPr>
                <w:sz w:val="13"/>
                <w:szCs w:val="13"/>
                <w:color w:val="auto"/>
              </w:rPr>
            </w:pPr>
          </w:p>
        </w:tc>
        <w:tc>
          <w:tcPr>
            <w:tcW w:w="6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Invitae</w:t>
            </w:r>
          </w:p>
        </w:tc>
        <w:tc>
          <w:tcPr>
            <w:tcW w:w="160" w:type="dxa"/>
            <w:vAlign w:val="bottom"/>
          </w:tcPr>
          <w:p>
            <w:pPr>
              <w:spacing w:after="0"/>
              <w:rPr>
                <w:sz w:val="13"/>
                <w:szCs w:val="13"/>
                <w:color w:val="auto"/>
              </w:rPr>
            </w:pPr>
          </w:p>
        </w:tc>
        <w:tc>
          <w:tcPr>
            <w:tcW w:w="110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BioReference</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Other Business</w:t>
            </w: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During the Year</w:t>
            </w: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7"/>
              </w:rPr>
              <w:t>Medical</w:t>
            </w:r>
          </w:p>
        </w:tc>
        <w:tc>
          <w:tcPr>
            <w:tcW w:w="160" w:type="dxa"/>
            <w:vAlign w:val="bottom"/>
          </w:tcPr>
          <w:p>
            <w:pPr>
              <w:spacing w:after="0"/>
              <w:rPr>
                <w:sz w:val="13"/>
                <w:szCs w:val="13"/>
                <w:color w:val="auto"/>
              </w:rPr>
            </w:pPr>
          </w:p>
        </w:tc>
        <w:tc>
          <w:tcPr>
            <w:tcW w:w="94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Medical</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rPr>
              <w:t>Period</w:t>
            </w:r>
          </w:p>
        </w:tc>
        <w:tc>
          <w:tcPr>
            <w:tcW w:w="13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Ended December</w:t>
            </w:r>
          </w:p>
        </w:tc>
        <w:tc>
          <w:tcPr>
            <w:tcW w:w="0" w:type="dxa"/>
            <w:vAlign w:val="bottom"/>
          </w:tcPr>
          <w:p>
            <w:pPr>
              <w:spacing w:after="0"/>
              <w:rPr>
                <w:sz w:val="1"/>
                <w:szCs w:val="1"/>
                <w:color w:val="auto"/>
              </w:rPr>
            </w:pPr>
          </w:p>
        </w:tc>
      </w:tr>
      <w:tr>
        <w:trPr>
          <w:trHeight w:val="207"/>
        </w:trPr>
        <w:tc>
          <w:tcPr>
            <w:tcW w:w="26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Center</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Foundation</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Labs, Inc.</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Corp.</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Health</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31, 2024</w:t>
            </w: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1"/>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11"/>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0" w:type="dxa"/>
            <w:vAlign w:val="bottom"/>
          </w:tcPr>
          <w:p>
            <w:pPr>
              <w:spacing w:after="0"/>
              <w:rPr>
                <w:sz w:val="1"/>
                <w:szCs w:val="1"/>
                <w:color w:val="auto"/>
              </w:rPr>
            </w:pPr>
          </w:p>
        </w:tc>
      </w:tr>
      <w:tr>
        <w:trPr>
          <w:trHeight w:val="204"/>
        </w:trPr>
        <w:tc>
          <w:tcPr>
            <w:tcW w:w="2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assets acquired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932.1</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1"/>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04"/>
        </w:trPr>
        <w:tc>
          <w:tcPr>
            <w:tcW w:w="2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liabilities acquired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assets acquired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0" w:type="dxa"/>
            <w:vAlign w:val="bottom"/>
          </w:tcPr>
          <w:p>
            <w:pPr>
              <w:spacing w:after="0"/>
              <w:rPr>
                <w:sz w:val="1"/>
                <w:szCs w:val="1"/>
                <w:color w:val="auto"/>
              </w:rPr>
            </w:pPr>
          </w:p>
        </w:tc>
      </w:tr>
      <w:tr>
        <w:trPr>
          <w:trHeight w:val="211"/>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2023 escrow payment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34"/>
        </w:trPr>
        <w:tc>
          <w:tcPr>
            <w:tcW w:w="2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acquisitions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September 17, 2024, the Company announced that it entered into an agreement with Cinven, Inc. to acquire a 15% minority interest in SYNLAB, a leader in medical diagnostic services and specialty testing in Europe, for approximately $155.9 (€140.0). The transaction is anticipated to close in early 2025, subject to customary closing conditions for a transaction of this type, including applicable regulatory approvals. The Company will acquire the minority interest through an intermediate holding company that will be established to hold the investment with SYNLAB and will be represented on the holding company board with Cinven, Inc. and other investors.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 for 2024 Acquisitions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Had the aggregate of the Company’s 2024 acquisitions been completed at January 1, 2023, the Company’s pro forma results would have been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8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12,716.4</w:t>
            </w:r>
          </w:p>
        </w:tc>
      </w:tr>
      <w:tr>
        <w:trPr>
          <w:trHeight w:val="23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LHI</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2024, the Company sold the assets of its Beacon Laboratory Benefit Solutions, Inc. for $13.5 and recorded a gain of $6.4.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14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2023, the Company acquired several businesses and related assets for cash of approximately $671.5. The preliminary purchase considerations for these acquisitions were allocated under the acquisition method of accounting to the estimated fair market value of the net assets acquired, including approximately $340.8 in identifiable intangible assets and a residual amount of tax-deductible goodwill of approximately $296.9. The goodwill reflects the Company’s expectations to utilize the acquired businesses’ workforce and established relationships and the benefits of being able to leverage operational efficiencies with favorable growth opportunities in these markets. The amortization period for non-compete agreements and customer list assets acquired from these businesses are 5 and 15 years, respectively. These acquisitions were made primarily to extend the Company’s geographic reach in important market areas and to partner with hospitals and health systems. The purchase price allocations for these acquisitions were preliminary at December 31, 2023. The preliminary valuation of acquired assets and assumed liabilities, include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Providence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20" w:type="dxa"/>
            <w:vAlign w:val="bottom"/>
          </w:tcPr>
          <w:p>
            <w:pPr>
              <w:spacing w:after="0"/>
              <w:rPr>
                <w:sz w:val="16"/>
                <w:szCs w:val="16"/>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Jefferson</w:t>
            </w:r>
          </w:p>
        </w:tc>
        <w:tc>
          <w:tcPr>
            <w:tcW w:w="140" w:type="dxa"/>
            <w:vAlign w:val="bottom"/>
          </w:tcPr>
          <w:p>
            <w:pPr>
              <w:spacing w:after="0"/>
              <w:rPr>
                <w:sz w:val="13"/>
                <w:szCs w:val="13"/>
                <w:color w:val="auto"/>
              </w:rPr>
            </w:pPr>
          </w:p>
        </w:tc>
        <w:tc>
          <w:tcPr>
            <w:tcW w:w="7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Enzo</w:t>
            </w:r>
          </w:p>
        </w:tc>
        <w:tc>
          <w:tcPr>
            <w:tcW w:w="140" w:type="dxa"/>
            <w:vAlign w:val="bottom"/>
          </w:tcPr>
          <w:p>
            <w:pPr>
              <w:spacing w:after="0"/>
              <w:rPr>
                <w:sz w:val="13"/>
                <w:szCs w:val="13"/>
                <w:color w:val="auto"/>
              </w:rPr>
            </w:pPr>
          </w:p>
        </w:tc>
        <w:tc>
          <w:tcPr>
            <w:tcW w:w="96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6"/>
                <w:szCs w:val="16"/>
                <w:b w:val="1"/>
                <w:bCs w:val="1"/>
                <w:color w:val="auto"/>
                <w:w w:val="99"/>
              </w:rPr>
              <w:t>Health and</w:t>
            </w:r>
          </w:p>
        </w:tc>
        <w:tc>
          <w:tcPr>
            <w:tcW w:w="140" w:type="dxa"/>
            <w:vAlign w:val="bottom"/>
          </w:tcPr>
          <w:p>
            <w:pPr>
              <w:spacing w:after="0"/>
              <w:rPr>
                <w:sz w:val="13"/>
                <w:szCs w:val="13"/>
                <w:color w:val="auto"/>
              </w:rPr>
            </w:pP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Tufts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Other Business</w:t>
            </w: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3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Acquired During</w:t>
            </w: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6"/>
                <w:szCs w:val="16"/>
                <w:b w:val="1"/>
                <w:bCs w:val="1"/>
                <w:color w:val="auto"/>
              </w:rPr>
              <w:t>Services -</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w w:val="96"/>
              </w:rPr>
              <w:t>Period</w:t>
            </w:r>
          </w:p>
        </w:tc>
        <w:tc>
          <w:tcPr>
            <w:tcW w:w="120" w:type="dxa"/>
            <w:vAlign w:val="bottom"/>
          </w:tcPr>
          <w:p>
            <w:pPr>
              <w:spacing w:after="0"/>
              <w:rPr>
                <w:sz w:val="13"/>
                <w:szCs w:val="13"/>
                <w:color w:val="auto"/>
              </w:rPr>
            </w:pPr>
          </w:p>
        </w:tc>
        <w:tc>
          <w:tcPr>
            <w:tcW w:w="1220" w:type="dxa"/>
            <w:vAlign w:val="bottom"/>
          </w:tcPr>
          <w:p>
            <w:pPr>
              <w:jc w:val="center"/>
              <w:ind w:right="32"/>
              <w:spacing w:after="0" w:line="160" w:lineRule="exact"/>
              <w:rPr>
                <w:sz w:val="20"/>
                <w:szCs w:val="20"/>
                <w:color w:val="auto"/>
              </w:rPr>
            </w:pPr>
            <w:r>
              <w:rPr>
                <w:rFonts w:ascii="Times New Roman" w:cs="Times New Roman" w:eastAsia="Times New Roman" w:hAnsi="Times New Roman"/>
                <w:sz w:val="16"/>
                <w:szCs w:val="16"/>
                <w:b w:val="1"/>
                <w:bCs w:val="1"/>
                <w:color w:val="auto"/>
                <w:w w:val="98"/>
              </w:rPr>
              <w:t>the Year Ended</w:t>
            </w:r>
          </w:p>
        </w:tc>
        <w:tc>
          <w:tcPr>
            <w:tcW w:w="0" w:type="dxa"/>
            <w:vAlign w:val="bottom"/>
          </w:tcPr>
          <w:p>
            <w:pPr>
              <w:spacing w:after="0"/>
              <w:rPr>
                <w:sz w:val="1"/>
                <w:szCs w:val="1"/>
                <w:color w:val="auto"/>
              </w:rPr>
            </w:pPr>
          </w:p>
        </w:tc>
      </w:tr>
      <w:tr>
        <w:trPr>
          <w:trHeight w:val="212"/>
        </w:trPr>
        <w:tc>
          <w:tcPr>
            <w:tcW w:w="2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Health</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BioChem</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Oregon</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Medicine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Acquisitions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2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2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0"/>
        </w:trPr>
        <w:tc>
          <w:tcPr>
            <w:tcW w:w="2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7"/>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0"/>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 for 2023 Acquisitions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Had the aggregate of the Company’s 2023 acquisitions been completed at January 1, 2022, the Company’s pro forma results would have been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8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12,126.3</w:t>
            </w:r>
          </w:p>
        </w:tc>
      </w:tr>
      <w:tr>
        <w:trPr>
          <w:trHeight w:val="23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r>
      <w:tr>
        <w:trPr>
          <w:trHeight w:val="32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01"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2022, the Company acquired various businesses and related assets for approximately $1,164.0 in cash (net of cash acquired). The purchase consideration for all acquisitions year to date has been allocated to the estimated fair market value of the net assets acquired, including approximately $542.3 in identifiable intangible assets and a residual amount of non-tax-deductible goodwill of approximately $598.5. The amortization periods for intangible assets acquired from these transactions range from 15 to 19 years for customer relationships, 15 years for patents and technology, 5 years for non-compete agreements, and 5 to 10 years for trade names. These acquisitions were made primarily to extend the Company’s geographic reach in important market areas and enhance the Company’s scientific differentiation.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The purchase price allocation for several of these transactions were preliminary at December 31, 2022. The areas of the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that were not yet finalized related primarily to Property, plant and equipment, Intangible assets, Goodwill and Deferred income taxes. A summary of the net assets acquired in 2022 for these businesses is included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Preliminary Personal</w:t>
            </w:r>
          </w:p>
        </w:tc>
        <w:tc>
          <w:tcPr>
            <w:tcW w:w="240" w:type="dxa"/>
            <w:vAlign w:val="bottom"/>
          </w:tcPr>
          <w:p>
            <w:pPr>
              <w:spacing w:after="0"/>
              <w:rPr>
                <w:sz w:val="16"/>
                <w:szCs w:val="16"/>
                <w:color w:val="auto"/>
              </w:rPr>
            </w:pPr>
          </w:p>
        </w:tc>
        <w:tc>
          <w:tcPr>
            <w:tcW w:w="130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Preliminary</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Amounts Acquired During</w:t>
            </w: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15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Genome Diagnostics</w:t>
            </w:r>
          </w:p>
        </w:tc>
        <w:tc>
          <w:tcPr>
            <w:tcW w:w="2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8"/>
              </w:rPr>
              <w:t>Other Acquisitions</w:t>
            </w:r>
          </w:p>
        </w:tc>
        <w:tc>
          <w:tcPr>
            <w:tcW w:w="1540" w:type="dxa"/>
            <w:vAlign w:val="bottom"/>
            <w:gridSpan w:val="2"/>
            <w:vMerge w:val="continue"/>
          </w:tcPr>
          <w:p>
            <w:pPr>
              <w:spacing w:after="0"/>
              <w:rPr>
                <w:sz w:val="13"/>
                <w:szCs w:val="13"/>
                <w:color w:val="auto"/>
              </w:rPr>
            </w:pPr>
          </w:p>
        </w:tc>
        <w:tc>
          <w:tcPr>
            <w:tcW w:w="1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07"/>
        </w:trPr>
        <w:tc>
          <w:tcPr>
            <w:tcW w:w="3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Inc.</w:t>
            </w: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Ascension Healthcare</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2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45"/>
        </w:trPr>
        <w:tc>
          <w:tcPr>
            <w:tcW w:w="3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 for 2022 Acquisitions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Had the aggregate of the Company’s 2022 acquisitions been completed at January 1, 2021, the Company’s pro forma results would have been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8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13,325.7</w:t>
            </w:r>
          </w:p>
        </w:tc>
      </w:tr>
      <w:tr>
        <w:trPr>
          <w:trHeight w:val="23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AND OTHER CHARGES</w:t>
      </w:r>
    </w:p>
    <w:p>
      <w:pPr>
        <w:spacing w:after="0" w:line="1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Restructuring and other charges represent amounts incurred in connection with the elimination of redundant positions and facilities within the organization in connection with cost saving initiatives, the spin-off of Fortrea, and acquisitions or dispositions of businesses by the Company.</w:t>
      </w:r>
    </w:p>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2024, the Company recorded net restructuring charges of $46.0. The charges were comprised of $43.0 in severance and other personnel costs and $5.9 in facility-related costs primarily associated with general integration activities. The charges were offset by the reversal of a previously established liability of $2.5 in unused severance and $0.4 in unused facility-related costs.</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2023, the Company recorded net restructuring charges of $49.1. The charges were comprised of $33.4 in severance and other personnel costs and $22.3 in facility-related costs primarily associated with general integration activities. The charges were offset by the reversal of a previously established liability of $1.7 in unused severance and $4.9 in unused facility-related costs.</w:t>
      </w:r>
    </w:p>
    <w:p>
      <w:pPr>
        <w:spacing w:after="0" w:line="9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2022, the Company recorded net restructuring charges of $54.0. The charges were comprised of $24.8 in severance and other personnel costs and $31.1 in facility-related costs primarily associated with general integration activities. The charges were offset by the reversal of a previously established liability of $1.4 in unused severance and $0.5 in unused facility-related costs.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represents the Company’s restructuring activities: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Severance and Other</w:t>
            </w:r>
          </w:p>
        </w:tc>
        <w:tc>
          <w:tcPr>
            <w:tcW w:w="300" w:type="dxa"/>
            <w:vAlign w:val="bottom"/>
          </w:tcPr>
          <w:p>
            <w:pPr>
              <w:spacing w:after="0"/>
              <w:rPr>
                <w:sz w:val="17"/>
                <w:szCs w:val="17"/>
                <w:color w:val="auto"/>
              </w:rPr>
            </w:pPr>
          </w:p>
        </w:tc>
        <w:tc>
          <w:tcPr>
            <w:tcW w:w="1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Lease and Other</w:t>
            </w: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Employee Costs</w:t>
            </w:r>
          </w:p>
        </w:tc>
        <w:tc>
          <w:tcPr>
            <w:tcW w:w="300" w:type="dxa"/>
            <w:vAlign w:val="bottom"/>
          </w:tcPr>
          <w:p>
            <w:pPr>
              <w:spacing w:after="0"/>
              <w:rPr>
                <w:sz w:val="21"/>
                <w:szCs w:val="21"/>
                <w:color w:val="auto"/>
              </w:rPr>
            </w:pPr>
          </w:p>
        </w:tc>
        <w:tc>
          <w:tcPr>
            <w:tcW w:w="1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Facility Costs</w:t>
            </w:r>
          </w:p>
        </w:tc>
        <w:tc>
          <w:tcPr>
            <w:tcW w:w="500" w:type="dxa"/>
            <w:vAlign w:val="bottom"/>
          </w:tcPr>
          <w:p>
            <w:pPr>
              <w:spacing w:after="0"/>
              <w:rPr>
                <w:sz w:val="21"/>
                <w:szCs w:val="21"/>
                <w:color w:val="auto"/>
              </w:rPr>
            </w:pPr>
          </w:p>
        </w:tc>
        <w:tc>
          <w:tcPr>
            <w:tcW w:w="164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7"/>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2022</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7"/>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7"/>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7"/>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2023</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7"/>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7"/>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7"/>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4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2024</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Liability balance classified as current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classified as non-current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liability balance as of December 31, 2024</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non-current portion of the restructuring liability balance is expected to be paid out over 8.7 years.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operating and finance leases for patient service centers, laboratories and testing facilities, clinical facilities, general office spaces, vehicles, and office and laboratory equipment. Leases have remaining lease terms of less than a year to 20 years, some of which include options to extend the leases for up to 20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27"/>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6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from operating leases</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used from finance leases</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used from finance leases</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3"/>
        </w:trPr>
        <w:tc>
          <w:tcPr>
            <w:tcW w:w="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40" w:type="dxa"/>
            <w:vAlign w:val="bottom"/>
          </w:tcPr>
          <w:p>
            <w:pPr>
              <w:spacing w:after="0"/>
              <w:rPr>
                <w:sz w:val="19"/>
                <w:szCs w:val="19"/>
                <w:color w:val="auto"/>
              </w:rPr>
            </w:pPr>
          </w:p>
        </w:tc>
        <w:tc>
          <w:tcPr>
            <w:tcW w:w="6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 (included in Property, plant and equipment,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737.1</w:t>
            </w:r>
          </w:p>
        </w:tc>
        <w:tc>
          <w:tcPr>
            <w:tcW w:w="20" w:type="dxa"/>
            <w:vAlign w:val="bottom"/>
          </w:tcPr>
          <w:p>
            <w:pPr>
              <w:spacing w:after="0"/>
              <w:rPr>
                <w:sz w:val="19"/>
                <w:szCs w:val="19"/>
                <w:color w:val="auto"/>
              </w:rPr>
            </w:pPr>
          </w:p>
        </w:tc>
      </w:tr>
      <w:tr>
        <w:trPr>
          <w:trHeight w:val="200"/>
        </w:trPr>
        <w:tc>
          <w:tcPr>
            <w:tcW w:w="4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165.8</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676.3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648.9</w:t>
            </w:r>
          </w:p>
        </w:tc>
        <w:tc>
          <w:tcPr>
            <w:tcW w:w="20" w:type="dxa"/>
            <w:vAlign w:val="bottom"/>
          </w:tcPr>
          <w:p>
            <w:pPr>
              <w:spacing w:after="0"/>
              <w:rPr>
                <w:sz w:val="19"/>
                <w:szCs w:val="19"/>
                <w:color w:val="auto"/>
              </w:rPr>
            </w:pPr>
          </w:p>
        </w:tc>
      </w:tr>
      <w:tr>
        <w:trPr>
          <w:trHeight w:val="193"/>
        </w:trPr>
        <w:tc>
          <w:tcPr>
            <w:tcW w:w="40" w:type="dxa"/>
            <w:vAlign w:val="bottom"/>
          </w:tcPr>
          <w:p>
            <w:pPr>
              <w:spacing w:after="0"/>
              <w:rPr>
                <w:sz w:val="16"/>
                <w:szCs w:val="16"/>
                <w:color w:val="auto"/>
              </w:rPr>
            </w:pPr>
          </w:p>
        </w:tc>
        <w:tc>
          <w:tcPr>
            <w:tcW w:w="69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860.9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Borders>
              <w:bottom w:val="single" w:sz="8" w:color="auto"/>
            </w:tcBorders>
            <w:gridSpan w:val="2"/>
          </w:tcPr>
          <w:p>
            <w:pPr>
              <w:jc w:val="right"/>
              <w:ind w:right="27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814.7</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ROU assets (included in Other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9"/>
                <w:szCs w:val="19"/>
                <w:color w:val="auto"/>
              </w:rPr>
            </w:pPr>
          </w:p>
        </w:tc>
      </w:tr>
      <w:tr>
        <w:trPr>
          <w:trHeight w:val="245"/>
        </w:trPr>
        <w:tc>
          <w:tcPr>
            <w:tcW w:w="40" w:type="dxa"/>
            <w:vAlign w:val="bottom"/>
          </w:tcPr>
          <w:p>
            <w:pPr>
              <w:spacing w:after="0"/>
              <w:rPr>
                <w:sz w:val="20"/>
                <w:szCs w:val="20"/>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7"/>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19"/>
                <w:szCs w:val="19"/>
                <w:color w:val="auto"/>
              </w:rPr>
            </w:pPr>
          </w:p>
        </w:tc>
      </w:tr>
      <w:tr>
        <w:trPr>
          <w:trHeight w:val="428"/>
        </w:trPr>
        <w:tc>
          <w:tcPr>
            <w:tcW w:w="4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ind w:left="1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r>
      <w:tr>
        <w:trPr>
          <w:trHeight w:val="220"/>
        </w:trPr>
        <w:tc>
          <w:tcPr>
            <w:tcW w:w="7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top w:val="single" w:sz="8" w:color="auto"/>
            </w:tcBorders>
            <w:shd w:val="clear" w:color="auto" w:fill="CCEEFF"/>
          </w:tcPr>
          <w:p>
            <w:pPr>
              <w:spacing w:after="0"/>
              <w:rPr>
                <w:sz w:val="19"/>
                <w:szCs w:val="19"/>
                <w:color w:val="auto"/>
              </w:rPr>
            </w:pPr>
          </w:p>
        </w:tc>
      </w:tr>
      <w:tr>
        <w:trPr>
          <w:trHeight w:val="227"/>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r>
      <w:tr>
        <w:trPr>
          <w:trHeight w:val="22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r>
      <w:tr>
        <w:trPr>
          <w:trHeight w:val="227"/>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2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r>
      <w:tr>
        <w:trPr>
          <w:trHeight w:val="227"/>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Borders>
              <w:bottom w:val="single" w:sz="8" w:color="auto"/>
            </w:tcBorders>
          </w:tcPr>
          <w:p>
            <w:pPr>
              <w:spacing w:after="0"/>
              <w:rPr>
                <w:sz w:val="19"/>
                <w:szCs w:val="19"/>
                <w:color w:val="auto"/>
              </w:rPr>
            </w:pPr>
          </w:p>
        </w:tc>
      </w:tr>
      <w:tr>
        <w:trPr>
          <w:trHeight w:val="220"/>
        </w:trPr>
        <w:tc>
          <w:tcPr>
            <w:tcW w:w="40" w:type="dxa"/>
            <w:vAlign w:val="bottom"/>
            <w:shd w:val="clear" w:color="auto" w:fill="CCEEFF"/>
          </w:tcPr>
          <w:p>
            <w:pPr>
              <w:spacing w:after="0"/>
              <w:rPr>
                <w:sz w:val="19"/>
                <w:szCs w:val="19"/>
                <w:color w:val="auto"/>
              </w:rPr>
            </w:pPr>
          </w:p>
        </w:tc>
        <w:tc>
          <w:tcPr>
            <w:tcW w:w="6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shd w:val="clear" w:color="auto" w:fill="CCEEFF"/>
          </w:tcPr>
          <w:p>
            <w:pPr>
              <w:spacing w:after="0"/>
              <w:rPr>
                <w:sz w:val="19"/>
                <w:szCs w:val="19"/>
                <w:color w:val="auto"/>
              </w:rPr>
            </w:pPr>
          </w:p>
        </w:tc>
      </w:tr>
      <w:tr>
        <w:trPr>
          <w:trHeight w:val="227"/>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8"/>
              </w:rPr>
              <w:t>(165.8)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r>
      <w:tr>
        <w:trPr>
          <w:trHeight w:val="22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8"/>
              </w:rPr>
              <w:t>(184.6)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2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maturities, due beyond one year</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elected, for all classes of underlying assets, to account for lease components and non-lease components as a single lease component.</w:t>
      </w:r>
    </w:p>
    <w:p>
      <w:pPr>
        <w:spacing w:after="0" w:line="12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Rent expense for short term leases with a term less than one year for the years ended December 31, 2024, 2023, and 2022 amounted to $31.1, $31.9, $22.2, respectively. The Company has variable lease payments that do not depend on a rate index, primarily for purchase volume commitments, which are recorded as variable cost when incurred. Total variable payments for the year ended December 31, 2024, 2023, and 2022 were $32.4, $32.7, and $27.9,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240" w:type="dxa"/>
            <w:vAlign w:val="bottom"/>
          </w:tcPr>
          <w:p>
            <w:pPr>
              <w:spacing w:after="0"/>
              <w:rPr>
                <w:sz w:val="14"/>
                <w:szCs w:val="14"/>
                <w:color w:val="auto"/>
              </w:rPr>
            </w:pPr>
          </w:p>
        </w:tc>
        <w:tc>
          <w:tcPr>
            <w:tcW w:w="2040" w:type="dxa"/>
            <w:vAlign w:val="bottom"/>
            <w:gridSpan w:val="4"/>
          </w:tcPr>
          <w:p>
            <w:pPr>
              <w:jc w:val="center"/>
              <w:ind w:right="140"/>
              <w:spacing w:after="0" w:line="169" w:lineRule="exact"/>
              <w:rPr>
                <w:sz w:val="20"/>
                <w:szCs w:val="20"/>
                <w:color w:val="auto"/>
              </w:rPr>
            </w:pPr>
            <w:r>
              <w:rPr>
                <w:rFonts w:ascii="Times New Roman" w:cs="Times New Roman" w:eastAsia="Times New Roman" w:hAnsi="Times New Roman"/>
                <w:sz w:val="18"/>
                <w:szCs w:val="18"/>
                <w:color w:val="auto"/>
                <w:w w:val="99"/>
              </w:rPr>
              <w:t>Range of Useful Lives (in</w:t>
            </w:r>
          </w:p>
        </w:tc>
        <w:tc>
          <w:tcPr>
            <w:tcW w:w="320" w:type="dxa"/>
            <w:vAlign w:val="bottom"/>
          </w:tcPr>
          <w:p>
            <w:pPr>
              <w:spacing w:after="0"/>
              <w:rPr>
                <w:sz w:val="14"/>
                <w:szCs w:val="14"/>
                <w:color w:val="auto"/>
              </w:rPr>
            </w:pPr>
          </w:p>
        </w:tc>
        <w:tc>
          <w:tcPr>
            <w:tcW w:w="110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39"/>
        </w:trPr>
        <w:tc>
          <w:tcPr>
            <w:tcW w:w="6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624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0" w:type="dxa"/>
            <w:vAlign w:val="bottom"/>
          </w:tcPr>
          <w:p>
            <w:pPr>
              <w:spacing w:after="0"/>
              <w:rPr>
                <w:sz w:val="1"/>
                <w:szCs w:val="1"/>
                <w:color w:val="auto"/>
              </w:rPr>
            </w:pPr>
          </w:p>
        </w:tc>
      </w:tr>
      <w:tr>
        <w:trPr>
          <w:trHeight w:val="22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7"/>
        </w:trPr>
        <w:tc>
          <w:tcPr>
            <w:tcW w:w="62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Leasehold improvements </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6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5,816.9</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(2,905.1)</w:t>
            </w:r>
          </w:p>
        </w:tc>
        <w:tc>
          <w:tcPr>
            <w:tcW w:w="0" w:type="dxa"/>
            <w:vAlign w:val="bottom"/>
          </w:tcPr>
          <w:p>
            <w:pPr>
              <w:spacing w:after="0"/>
              <w:rPr>
                <w:sz w:val="1"/>
                <w:szCs w:val="1"/>
                <w:color w:val="auto"/>
              </w:rPr>
            </w:pPr>
          </w:p>
        </w:tc>
      </w:tr>
      <w:tr>
        <w:trPr>
          <w:trHeight w:val="245"/>
        </w:trPr>
        <w:tc>
          <w:tcPr>
            <w:tcW w:w="6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240" w:hanging="233"/>
        <w:spacing w:after="0"/>
        <w:tabs>
          <w:tab w:leader="none" w:pos="24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Leasehold improvements are amortized over the shorter of their estimated useful lives or the term of the related leases.</w:t>
      </w:r>
    </w:p>
    <w:p>
      <w:pPr>
        <w:spacing w:after="0" w:line="101" w:lineRule="exact"/>
        <w:rPr>
          <w:sz w:val="20"/>
          <w:szCs w:val="20"/>
          <w:color w:val="auto"/>
        </w:rPr>
      </w:pPr>
    </w:p>
    <w:p>
      <w:pPr>
        <w:ind w:firstLine="280"/>
        <w:spacing w:after="0" w:line="277" w:lineRule="auto"/>
        <w:rPr>
          <w:sz w:val="20"/>
          <w:szCs w:val="20"/>
          <w:color w:val="auto"/>
        </w:rPr>
      </w:pPr>
      <w:r>
        <w:rPr>
          <w:rFonts w:ascii="Times New Roman" w:cs="Times New Roman" w:eastAsia="Times New Roman" w:hAnsi="Times New Roman"/>
          <w:sz w:val="18"/>
          <w:szCs w:val="18"/>
          <w:color w:val="auto"/>
        </w:rPr>
        <w:t>Depreciation expense and amortization of Property, plant and equipment was $387.1, $361.1 and $343.6 for 2024, 2023 and 2022, respectively, including software amortization of $87.6, $76.6, and $75.7 for 2024, 2023 and 2022, respectively.</w:t>
      </w:r>
    </w:p>
    <w:p>
      <w:pPr>
        <w:spacing w:after="0" w:line="65" w:lineRule="exact"/>
        <w:rPr>
          <w:sz w:val="20"/>
          <w:szCs w:val="20"/>
          <w:color w:val="auto"/>
        </w:rPr>
      </w:pPr>
    </w:p>
    <w:p>
      <w:pPr>
        <w:ind w:left="220" w:hanging="213"/>
        <w:spacing w:after="0"/>
        <w:tabs>
          <w:tab w:leader="none" w:pos="2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43"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net of impairment,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Dx</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BLS</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980" w:type="dxa"/>
            <w:vAlign w:val="bottom"/>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980" w:type="dxa"/>
            <w:vAlign w:val="bottom"/>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40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6,123.7</w:t>
            </w:r>
          </w:p>
        </w:tc>
        <w:tc>
          <w:tcPr>
            <w:tcW w:w="0" w:type="dxa"/>
            <w:vAlign w:val="bottom"/>
          </w:tcPr>
          <w:p>
            <w:pPr>
              <w:spacing w:after="0"/>
              <w:rPr>
                <w:sz w:val="1"/>
                <w:szCs w:val="1"/>
                <w:color w:val="auto"/>
              </w:rPr>
            </w:pPr>
          </w:p>
        </w:tc>
      </w:tr>
      <w:tr>
        <w:trPr>
          <w:trHeight w:val="227"/>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182"/>
        </w:trPr>
        <w:tc>
          <w:tcPr>
            <w:tcW w:w="400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Foreign currency impact and other adjustments to</w:t>
            </w:r>
          </w:p>
        </w:tc>
        <w:tc>
          <w:tcPr>
            <w:tcW w:w="12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During 2024, the Company did not record a goodwill or intangible asset impairment charge. During 2023, the Company recorded goodwill and other asset impairment charges of $349.0 which was primarily comprised of $333.6 of goodwill impairment for the ED reporting unit. During 2022, the Company recorded goodwill and other asset impairment charges of $261.7 which was primarily comprised of goodwill impairment for the ED reporting unit and the impairment of a technology intangible asset.</w:t>
      </w:r>
    </w:p>
    <w:p>
      <w:pPr>
        <w:spacing w:after="0" w:line="10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cumulative goodwill impairment for the Company through December 31, 2024, and 2023 was $648.5 and relates entirely to the ED reporting unit, which has no remaining goodwill balance, of the BLS segment.</w:t>
      </w:r>
    </w:p>
    <w:p>
      <w:pPr>
        <w:spacing w:after="0" w:line="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160" w:type="dxa"/>
            <w:vAlign w:val="bottom"/>
            <w:gridSpan w:val="4"/>
          </w:tcPr>
          <w:p>
            <w:pPr>
              <w:jc w:val="center"/>
              <w:ind w:right="100"/>
              <w:spacing w:after="0" w:line="174" w:lineRule="exact"/>
              <w:rPr>
                <w:sz w:val="20"/>
                <w:szCs w:val="20"/>
                <w:color w:val="auto"/>
              </w:rPr>
            </w:pPr>
            <w:r>
              <w:rPr>
                <w:rFonts w:ascii="Times New Roman" w:cs="Times New Roman" w:eastAsia="Times New Roman" w:hAnsi="Times New Roman"/>
                <w:sz w:val="18"/>
                <w:szCs w:val="18"/>
                <w:color w:val="auto"/>
              </w:rPr>
              <w:t>Range of</w:t>
            </w:r>
          </w:p>
        </w:tc>
        <w:tc>
          <w:tcPr>
            <w:tcW w:w="140" w:type="dxa"/>
            <w:vAlign w:val="bottom"/>
          </w:tcPr>
          <w:p>
            <w:pPr>
              <w:spacing w:after="0"/>
              <w:rPr>
                <w:sz w:val="15"/>
                <w:szCs w:val="15"/>
                <w:color w:val="auto"/>
              </w:rPr>
            </w:pPr>
          </w:p>
        </w:tc>
        <w:tc>
          <w:tcPr>
            <w:tcW w:w="82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Accumulated</w:t>
            </w:r>
          </w:p>
        </w:tc>
        <w:tc>
          <w:tcPr>
            <w:tcW w:w="140" w:type="dxa"/>
            <w:vAlign w:val="bottom"/>
          </w:tcPr>
          <w:p>
            <w:pPr>
              <w:spacing w:after="0"/>
              <w:rPr>
                <w:sz w:val="15"/>
                <w:szCs w:val="15"/>
                <w:color w:val="auto"/>
              </w:rPr>
            </w:pPr>
          </w:p>
        </w:tc>
        <w:tc>
          <w:tcPr>
            <w:tcW w:w="82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9"/>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1"/>
              <w:spacing w:after="0" w:line="174" w:lineRule="exact"/>
              <w:rPr>
                <w:sz w:val="20"/>
                <w:szCs w:val="20"/>
                <w:color w:val="auto"/>
              </w:rPr>
            </w:pPr>
            <w:r>
              <w:rPr>
                <w:rFonts w:ascii="Times New Roman" w:cs="Times New Roman" w:eastAsia="Times New Roman" w:hAnsi="Times New Roman"/>
                <w:sz w:val="18"/>
                <w:szCs w:val="18"/>
                <w:color w:val="auto"/>
                <w:w w:val="95"/>
              </w:rPr>
              <w:t>Gross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Accumulated</w:t>
            </w:r>
          </w:p>
        </w:tc>
        <w:tc>
          <w:tcPr>
            <w:tcW w:w="140" w:type="dxa"/>
            <w:vAlign w:val="bottom"/>
          </w:tcPr>
          <w:p>
            <w:pPr>
              <w:spacing w:after="0"/>
              <w:rPr>
                <w:sz w:val="15"/>
                <w:szCs w:val="15"/>
                <w:color w:val="auto"/>
              </w:rPr>
            </w:pPr>
          </w:p>
        </w:tc>
        <w:tc>
          <w:tcPr>
            <w:tcW w:w="840" w:type="dxa"/>
            <w:vAlign w:val="bottom"/>
          </w:tcPr>
          <w:p>
            <w:pPr>
              <w:jc w:val="center"/>
              <w:ind w:right="51"/>
              <w:spacing w:after="0" w:line="174"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160" w:type="dxa"/>
            <w:vAlign w:val="bottom"/>
            <w:gridSpan w:val="4"/>
          </w:tcPr>
          <w:p>
            <w:pPr>
              <w:jc w:val="center"/>
              <w:ind w:right="100"/>
              <w:spacing w:after="0" w:line="174" w:lineRule="exact"/>
              <w:rPr>
                <w:sz w:val="20"/>
                <w:szCs w:val="20"/>
                <w:color w:val="auto"/>
              </w:rPr>
            </w:pPr>
            <w:r>
              <w:rPr>
                <w:rFonts w:ascii="Times New Roman" w:cs="Times New Roman" w:eastAsia="Times New Roman" w:hAnsi="Times New Roman"/>
                <w:sz w:val="18"/>
                <w:szCs w:val="18"/>
                <w:color w:val="auto"/>
                <w:w w:val="97"/>
              </w:rPr>
              <w:t>Useful Lives</w:t>
            </w:r>
          </w:p>
        </w:tc>
        <w:tc>
          <w:tcPr>
            <w:tcW w:w="140" w:type="dxa"/>
            <w:vAlign w:val="bottom"/>
          </w:tcPr>
          <w:p>
            <w:pPr>
              <w:spacing w:after="0"/>
              <w:rPr>
                <w:sz w:val="15"/>
                <w:szCs w:val="15"/>
                <w:color w:val="auto"/>
              </w:rPr>
            </w:pPr>
          </w:p>
        </w:tc>
        <w:tc>
          <w:tcPr>
            <w:tcW w:w="820" w:type="dxa"/>
            <w:vAlign w:val="bottom"/>
          </w:tcPr>
          <w:p>
            <w:pPr>
              <w:jc w:val="center"/>
              <w:ind w:right="51"/>
              <w:spacing w:after="0" w:line="174"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5"/>
                <w:szCs w:val="15"/>
                <w:color w:val="auto"/>
              </w:rPr>
            </w:pPr>
          </w:p>
        </w:tc>
        <w:tc>
          <w:tcPr>
            <w:tcW w:w="820" w:type="dxa"/>
            <w:vAlign w:val="bottom"/>
          </w:tcPr>
          <w:p>
            <w:pPr>
              <w:jc w:val="center"/>
              <w:ind w:right="51"/>
              <w:spacing w:after="0" w:line="174"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47"/>
        </w:trPr>
        <w:tc>
          <w:tcPr>
            <w:tcW w:w="3200" w:type="dxa"/>
            <w:vAlign w:val="bottom"/>
          </w:tcPr>
          <w:p>
            <w:pPr>
              <w:spacing w:after="0"/>
              <w:rPr>
                <w:sz w:val="21"/>
                <w:szCs w:val="21"/>
                <w:color w:val="auto"/>
              </w:rPr>
            </w:pP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6"/>
              </w:rPr>
              <w:t>(in Years)</w:t>
            </w:r>
          </w:p>
        </w:tc>
        <w:tc>
          <w:tcPr>
            <w:tcW w:w="140" w:type="dxa"/>
            <w:vAlign w:val="bottom"/>
          </w:tcPr>
          <w:p>
            <w:pPr>
              <w:spacing w:after="0"/>
              <w:rPr>
                <w:sz w:val="21"/>
                <w:szCs w:val="21"/>
                <w:color w:val="auto"/>
              </w:rPr>
            </w:pPr>
          </w:p>
        </w:tc>
        <w:tc>
          <w:tcPr>
            <w:tcW w:w="8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Amortization</w:t>
            </w:r>
          </w:p>
        </w:tc>
        <w:tc>
          <w:tcPr>
            <w:tcW w:w="140" w:type="dxa"/>
            <w:vAlign w:val="bottom"/>
          </w:tcPr>
          <w:p>
            <w:pPr>
              <w:spacing w:after="0"/>
              <w:rPr>
                <w:sz w:val="21"/>
                <w:szCs w:val="21"/>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1"/>
                <w:szCs w:val="21"/>
                <w:color w:val="auto"/>
              </w:rPr>
            </w:pPr>
          </w:p>
        </w:tc>
        <w:tc>
          <w:tcPr>
            <w:tcW w:w="8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Amortization</w:t>
            </w:r>
          </w:p>
        </w:tc>
        <w:tc>
          <w:tcPr>
            <w:tcW w:w="140" w:type="dxa"/>
            <w:vAlign w:val="bottom"/>
          </w:tcPr>
          <w:p>
            <w:pPr>
              <w:spacing w:after="0"/>
              <w:rPr>
                <w:sz w:val="21"/>
                <w:szCs w:val="21"/>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Amount</w:t>
            </w:r>
          </w:p>
        </w:tc>
        <w:tc>
          <w:tcPr>
            <w:tcW w:w="0" w:type="dxa"/>
            <w:vAlign w:val="bottom"/>
          </w:tcPr>
          <w:p>
            <w:pPr>
              <w:spacing w:after="0"/>
              <w:rPr>
                <w:sz w:val="1"/>
                <w:szCs w:val="1"/>
                <w:color w:val="auto"/>
              </w:rPr>
            </w:pPr>
          </w:p>
        </w:tc>
      </w:tr>
      <w:tr>
        <w:trPr>
          <w:trHeight w:val="22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Patents, licenses, and technology </w:t>
            </w:r>
            <w:r>
              <w:rPr>
                <w:rFonts w:ascii="Times New Roman" w:cs="Times New Roman" w:eastAsia="Times New Roman" w:hAnsi="Times New Roman"/>
                <w:sz w:val="23"/>
                <w:szCs w:val="23"/>
                <w:color w:val="auto"/>
                <w:vertAlign w:val="superscript"/>
              </w:rPr>
              <w:t>1</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definite-lived intangible assets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licenses</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0" w:hanging="233"/>
        <w:spacing w:after="0"/>
        <w:tabs>
          <w:tab w:leader="none" w:pos="24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$105.9 and $87.5 of indefinite-lived intangible assets at December 31, 2024, and 2023,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intangible assets acquired during 2024, and their respective weighted-average amortization periods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47"/>
        </w:trPr>
        <w:tc>
          <w:tcPr>
            <w:tcW w:w="77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Amortization Period</w:t>
            </w:r>
          </w:p>
        </w:tc>
      </w:tr>
      <w:tr>
        <w:trPr>
          <w:trHeight w:val="22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5"/>
        </w:trPr>
        <w:tc>
          <w:tcPr>
            <w:tcW w:w="7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16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Amortization of intangible assets was $256.4, $219.8 and $193.6 in 2024, 2023, and 2022, respectively. Amortization expense of intangible assets is estimated to be $271.6 in 2025, $261.2 in 2026, $248.3 in 2027, $240.6 in 2028, $226.9 in 2029, and $1,682.8 thereafter.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w:t>
            </w: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73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22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20"/>
        </w:trPr>
        <w:tc>
          <w:tcPr>
            <w:tcW w:w="7300" w:type="dxa"/>
            <w:vAlign w:val="bottom"/>
          </w:tcPr>
          <w:p>
            <w:pPr>
              <w:spacing w:after="0"/>
              <w:rPr>
                <w:sz w:val="19"/>
                <w:szCs w:val="19"/>
                <w:color w:val="auto"/>
              </w:rPr>
            </w:pPr>
          </w:p>
        </w:tc>
        <w:tc>
          <w:tcPr>
            <w:tcW w:w="122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LIABILITIES</w:t>
            </w: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73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obligation</w:t>
            </w:r>
          </w:p>
        </w:tc>
        <w:tc>
          <w:tcPr>
            <w:tcW w:w="122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Defined-benefit plan obligation</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Worker’s compensation and auto</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 liability</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20"/>
        </w:trPr>
        <w:tc>
          <w:tcPr>
            <w:tcW w:w="7300" w:type="dxa"/>
            <w:vAlign w:val="bottom"/>
          </w:tcPr>
          <w:p>
            <w:pPr>
              <w:spacing w:after="0"/>
              <w:rPr>
                <w:sz w:val="19"/>
                <w:szCs w:val="19"/>
                <w:color w:val="auto"/>
              </w:rPr>
            </w:pPr>
          </w:p>
        </w:tc>
        <w:tc>
          <w:tcPr>
            <w:tcW w:w="122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73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consisted of the following:</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122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 senior notes due 2024</w:t>
            </w:r>
          </w:p>
        </w:tc>
        <w:tc>
          <w:tcPr>
            <w:tcW w:w="12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3.25% senior note due 2024</w:t>
            </w:r>
          </w:p>
        </w:tc>
        <w:tc>
          <w:tcPr>
            <w:tcW w:w="1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122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0"/>
        </w:trPr>
        <w:tc>
          <w:tcPr>
            <w:tcW w:w="730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2"/>
                <w:szCs w:val="22"/>
                <w:color w:val="auto"/>
              </w:rPr>
            </w:pPr>
          </w:p>
        </w:tc>
      </w:tr>
      <w:tr>
        <w:trPr>
          <w:trHeight w:val="220"/>
        </w:trPr>
        <w:tc>
          <w:tcPr>
            <w:tcW w:w="73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122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4.35% senior notes due 2030</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4.55% senior notes due 2032</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4.80% senior notes due 2034</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 Facility</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5"/>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122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4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January 13, 2023.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at December 31, 2024, or December 31, 2023. At December 31, 2024, the effective interest rate on the revolving credit facility was 5.47%. The credit facility expires on April 30, 2026.</w:t>
      </w:r>
    </w:p>
    <w:p>
      <w:pPr>
        <w:spacing w:after="0" w:line="9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December 31, 2024, and expects that it will remain in compliance with its existing debt covenants for the next twelve months.</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$102.7 in outstanding letters of credit at December 31, 2024.</w:t>
      </w:r>
    </w:p>
    <w:p>
      <w:pPr>
        <w:spacing w:after="0" w:line="14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August 23, 2024, the Company and a bankruptcy-remote special purpose vehicle (SPV) entered into an accounts receivable securitization facility with PNC Bank, National Association (PNC) with a three-year term (AR Facility). The AR Facility allows the Company to borrow from PNC an amount of up to $300.0 through August of 2027 and may increase up to $700.0, subject to the satisfaction of certain conditions.</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SPV is a variable interest entity for which the Company is the primary beneficiary. The SPV’s sole business consists of the continuous purchase of receivables from the Company which is used as collateral for the loan with PNC. Although the SPV is included in the Company’s Consolidated Financial Statements, it is a separate legal entity with separate creditors.</w:t>
      </w:r>
    </w:p>
    <w:p>
      <w:pPr>
        <w:spacing w:after="0" w:line="8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spacing w:after="0" w:line="9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loan proceeds of $300.0 under the AR Facility, which is included in financing activities in the Consolidated Statements of Cash Flows.</w:t>
      </w:r>
    </w:p>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On January 31, 2025, the Company amended its AR Facility (AR Facility Amendment). The AR Facility Amendment increased the amount the Company can borrow from $300.0 to $700.0 through August of 2027. In addition, pursuant to the terms of the AR Facility Amendment (i) the Toronto-Dominion Bank became a party to the underlying receivables purchase agreement as a committed purchaser through January 2026. and (ii) MUFG Bank Ltd. and certain of its related conduit purchasers became parties to the underlying receivables purchase agreement as purchasers and the loans or investments of such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conduit purchasers may accrue interest as specified in the AR Facility Amendment and receivables purchase agreement.</w:t>
      </w:r>
    </w:p>
    <w:p>
      <w:pPr>
        <w:spacing w:after="0" w:line="140"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On February 18, 2025, the Company borrowed an additional $225.0 under the AR Facility Amendment, bringing the amount outstanding under the AR Facility Amendment to $525.0.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12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On September 23, 2024, LCAH (the Issuer) entered into a base indenture with U.S. Bank Trust Company, National Association, as trustee (the Trustee) (the 2024 Indenture). On September 23, 2024, the Company, the Issuer and the Trustee entered into supplemental indentures to the 2024 Indenture under which the Issuer issued, and the Company guaranteed, $2,000.0 in debt securities, consisting of $650.0 aggregate principal amount of 4.35% senior notes due 2030, $500.0 aggregate principal amount of 4.55% senior notes due 2032, and $850.0 aggregate principal amount of 4.80% senior notes due 2034 with interest payable semi-annually on April 1 and October 1 of each year, commencing April 1, 2025. Net proceeds from the offering were $1,983.0 after deducting underwriting discounts and other estimated expenses of the offering. The net proceeds were used to redeem or repay indebtedness and, to the extent not used for such purpose, for other general corporate purposes. Indebtedness redeemed or repaid or to be redeemed or repaid at or prior to maturity were the Company’s 2.30% senior notes due December 2024, its 3.60% senior notes due February 2025, and $500.0 of borrowings under its revolving credit facility.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Scheduled payments of long-term debt are as follows: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80"/>
        </w:trPr>
        <w:tc>
          <w:tcPr>
            <w:tcW w:w="9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7"/>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r>
      <w:tr>
        <w:trPr>
          <w:trHeight w:val="22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7"/>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27"/>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w:t>
            </w:r>
          </w:p>
        </w:tc>
      </w:tr>
      <w:tr>
        <w:trPr>
          <w:trHeight w:val="220"/>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scheduled payments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6,373.9</w:t>
            </w:r>
          </w:p>
        </w:tc>
      </w:tr>
      <w:tr>
        <w:trPr>
          <w:trHeight w:val="227"/>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w:t>
            </w:r>
          </w:p>
        </w:tc>
      </w:tr>
      <w:tr>
        <w:trPr>
          <w:trHeight w:val="245"/>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due beyond one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5,373.5</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PREFERRED STOCK AND COMMON SHAREHOLDERS’ EQUITY</w:t>
      </w:r>
    </w:p>
    <w:p>
      <w:pPr>
        <w:spacing w:after="0" w:line="13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 is authorized to issue up to 30.0 shares of preferred stock, par value $0.10 per share. There were no preferred shares outstanding at December 31, 2024, and 2023.</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Company’s shares of Common Stock issued and held in treasury are summarized below:</w:t>
      </w:r>
    </w:p>
    <w:p>
      <w:pPr>
        <w:spacing w:after="0" w:line="16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7"/>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repurchased</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0"/>
        </w:trPr>
        <w:tc>
          <w:tcPr>
            <w:tcW w:w="7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3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July 24, 2024, the Company’s board of directors (Board) adopted a new share repurchase plan authorizing the repurchase of up to $1,000.0 maximum value of the Company’s shares in addition to the remaining amount outstanding under the previous plan. During the twelve months ended December 31, 2024, the Company purchased 1.1 shares of its Common Stock at an average price of $219.57 for a total cost of $250.1. At December 31, 2024, the Company had outstanding authorization from its Board to purchase up to $1,280.4 maximum value of the Company’s Common Stock.</w:t>
      </w:r>
    </w:p>
    <w:p>
      <w:pPr>
        <w:spacing w:after="0" w:line="10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August 8, 2023, the Company entered into accelerated share repurchase agreements (collectively, the ASR Agreements) with two different banks, Goldman Sachs &amp; Co. LLC and Morgan Stanley &amp; Co. LLC (collectively, the Financial Institutions), to repurchase approximately $1,000.0 in the aggregate of the Company’s Common Stock, as part of the Company’s Common Stock repurchase program. The remaining repurchase authorization has no expiration date.</w:t>
      </w:r>
    </w:p>
    <w:p>
      <w:pPr>
        <w:spacing w:after="0" w:line="8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Under the ASR Agreements, the Company made an aggregate payment of $1,000.0 to the Financial Institutions and received an aggregate initial number of approximately 3.7 shares of Common Stock from the Financial Institutions, which were removed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the outstanding share count in connection with entering into the ASR Agreements. In December 2023, the Company received 1.1 shares of its Common Stock as a final settlement from the Financial Institutions. The average daily volume weighted-average price less discount per share was $206.85. The Company has accrued $9.0 of excise tax related to this accelerated share repurchase which was paid in April 2024. During the year ended December 31, 2023, the Company repurchased 4.8 shares of Common Stock at an average price of $206.85 per share for a total cost of $1,000.0.</w:t>
      </w:r>
    </w:p>
    <w:p>
      <w:pPr>
        <w:spacing w:after="0" w:line="10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During the fourth quarter of 2021, the Company’s Board adopted a share repurchase plan authorizing up to $2,500.0 of the Company’s shares in addition to the remaining amount outstanding under the previous plan.</w:t>
      </w:r>
    </w:p>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 in the Company’s Consolidated Balance Sheets.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started declaring quarterly cash dividends in the second quarter of 2022, with a total of $2.88 per share declared in 2024 and 2023 and $2.16 per share declared in 2022.</w:t>
      </w:r>
    </w:p>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January 8, 2025, the Company announced a cash dividend of $0.72 per share of Common Stock for the first quarter of 2025, or approximately $61.0 in the aggregate. The dividend will be payable on March 12, 2025, to stockholders of record of all issued and outstanding shares of Common Stock at the close of business on February 27, 2025. The declaration and payment of any future dividends will be at the discretion of the Company’s Board.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47"/>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are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0"/>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Foreign</w:t>
            </w: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Net</w:t>
            </w:r>
          </w:p>
        </w:tc>
        <w:tc>
          <w:tcPr>
            <w:tcW w:w="160" w:type="dxa"/>
            <w:vAlign w:val="bottom"/>
          </w:tcPr>
          <w:p>
            <w:pPr>
              <w:spacing w:after="0"/>
              <w:rPr>
                <w:sz w:val="24"/>
                <w:szCs w:val="24"/>
                <w:color w:val="auto"/>
              </w:rPr>
            </w:pPr>
          </w:p>
        </w:tc>
        <w:tc>
          <w:tcPr>
            <w:tcW w:w="13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7"/>
              </w:rPr>
              <w:t>Accumulated</w:t>
            </w:r>
          </w:p>
        </w:tc>
      </w:tr>
      <w:tr>
        <w:trPr>
          <w:trHeight w:val="182"/>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color w:val="auto"/>
                <w:w w:val="98"/>
              </w:rPr>
              <w:t>Currency</w:t>
            </w: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w w:val="98"/>
              </w:rPr>
              <w:t>Benefit</w:t>
            </w:r>
          </w:p>
        </w:tc>
        <w:tc>
          <w:tcPr>
            <w:tcW w:w="160" w:type="dxa"/>
            <w:vAlign w:val="bottom"/>
          </w:tcPr>
          <w:p>
            <w:pPr>
              <w:spacing w:after="0"/>
              <w:rPr>
                <w:sz w:val="15"/>
                <w:szCs w:val="15"/>
                <w:color w:val="auto"/>
              </w:rPr>
            </w:pPr>
          </w:p>
        </w:tc>
        <w:tc>
          <w:tcPr>
            <w:tcW w:w="1380" w:type="dxa"/>
            <w:vAlign w:val="bottom"/>
          </w:tcPr>
          <w:p>
            <w:pPr>
              <w:jc w:val="center"/>
              <w:ind w:right="51"/>
              <w:spacing w:after="0" w:line="182" w:lineRule="exact"/>
              <w:rPr>
                <w:sz w:val="20"/>
                <w:szCs w:val="20"/>
                <w:color w:val="auto"/>
              </w:rPr>
            </w:pPr>
            <w:r>
              <w:rPr>
                <w:rFonts w:ascii="Times New Roman" w:cs="Times New Roman" w:eastAsia="Times New Roman" w:hAnsi="Times New Roman"/>
                <w:sz w:val="18"/>
                <w:szCs w:val="18"/>
                <w:color w:val="auto"/>
                <w:w w:val="97"/>
              </w:rPr>
              <w:t>Other</w:t>
            </w:r>
          </w:p>
        </w:tc>
      </w:tr>
      <w:tr>
        <w:trPr>
          <w:trHeight w:val="178"/>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8"/>
                <w:szCs w:val="18"/>
                <w:color w:val="auto"/>
                <w:w w:val="97"/>
              </w:rPr>
              <w:t>Translation</w:t>
            </w: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8"/>
                <w:szCs w:val="18"/>
                <w:color w:val="auto"/>
                <w:w w:val="99"/>
              </w:rPr>
              <w:t>Plan</w:t>
            </w:r>
          </w:p>
        </w:tc>
        <w:tc>
          <w:tcPr>
            <w:tcW w:w="160" w:type="dxa"/>
            <w:vAlign w:val="bottom"/>
          </w:tcPr>
          <w:p>
            <w:pPr>
              <w:spacing w:after="0"/>
              <w:rPr>
                <w:sz w:val="15"/>
                <w:szCs w:val="15"/>
                <w:color w:val="auto"/>
              </w:rPr>
            </w:pPr>
          </w:p>
        </w:tc>
        <w:tc>
          <w:tcPr>
            <w:tcW w:w="1380" w:type="dxa"/>
            <w:vAlign w:val="bottom"/>
          </w:tcPr>
          <w:p>
            <w:pPr>
              <w:jc w:val="center"/>
              <w:ind w:right="51"/>
              <w:spacing w:after="0" w:line="178" w:lineRule="exact"/>
              <w:rPr>
                <w:sz w:val="20"/>
                <w:szCs w:val="20"/>
                <w:color w:val="auto"/>
              </w:rPr>
            </w:pPr>
            <w:r>
              <w:rPr>
                <w:rFonts w:ascii="Times New Roman" w:cs="Times New Roman" w:eastAsia="Times New Roman" w:hAnsi="Times New Roman"/>
                <w:sz w:val="18"/>
                <w:szCs w:val="18"/>
                <w:color w:val="auto"/>
                <w:w w:val="99"/>
              </w:rPr>
              <w:t>Comprehensive</w:t>
            </w:r>
          </w:p>
        </w:tc>
      </w:tr>
      <w:tr>
        <w:trPr>
          <w:trHeight w:val="220"/>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Adjustments</w:t>
            </w:r>
          </w:p>
        </w:tc>
        <w:tc>
          <w:tcPr>
            <w:tcW w:w="1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Adjustments</w:t>
            </w:r>
          </w:p>
        </w:tc>
        <w:tc>
          <w:tcPr>
            <w:tcW w:w="160" w:type="dxa"/>
            <w:vAlign w:val="bottom"/>
          </w:tcPr>
          <w:p>
            <w:pPr>
              <w:spacing w:after="0"/>
              <w:rPr>
                <w:sz w:val="19"/>
                <w:szCs w:val="19"/>
                <w:color w:val="auto"/>
              </w:rPr>
            </w:pPr>
          </w:p>
        </w:tc>
        <w:tc>
          <w:tcPr>
            <w:tcW w:w="13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Earnings</w:t>
            </w:r>
          </w:p>
        </w:tc>
      </w:tr>
      <w:tr>
        <w:trPr>
          <w:trHeight w:val="227"/>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r>
      <w:tr>
        <w:trPr>
          <w:trHeight w:val="227"/>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Fortrea Holdings Inc. spin-off</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7"/>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 adjustments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27"/>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7"/>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Amounts reclassified from Accumulated other comprehensive earnings </w:t>
            </w:r>
            <w:r>
              <w:rPr>
                <w:rFonts w:ascii="Times New Roman" w:cs="Times New Roman" w:eastAsia="Times New Roman" w:hAnsi="Times New Roman"/>
                <w:sz w:val="18"/>
                <w:szCs w:val="18"/>
                <w:i w:val="1"/>
                <w:iCs w:val="1"/>
                <w:color w:val="auto"/>
              </w:rPr>
              <w:t>(a)</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7"/>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adjustments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27"/>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Amounts reclassified from Accumulated other comprehensive earnings </w:t>
            </w:r>
            <w:r>
              <w:rPr>
                <w:rFonts w:ascii="Times New Roman" w:cs="Times New Roman" w:eastAsia="Times New Roman" w:hAnsi="Times New Roman"/>
                <w:sz w:val="18"/>
                <w:szCs w:val="18"/>
                <w:i w:val="1"/>
                <w:iCs w:val="1"/>
                <w:color w:val="auto"/>
              </w:rPr>
              <w:t>(a)</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7"/>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5"/>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00" w:hanging="193"/>
        <w:spacing w:after="0"/>
        <w:tabs>
          <w:tab w:leader="none" w:pos="20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The amortization of prior service cost is included in the computation of net periodic benefit cost.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sources of income before taxes, classified between domestic and foreign entities,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34"/>
        </w:trPr>
        <w:tc>
          <w:tcPr>
            <w:tcW w:w="7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r>
      <w:tr>
        <w:trPr>
          <w:trHeight w:val="227"/>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45"/>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pre-tax income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components of income tax expense attributable to continuing operations are as follows: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13"/>
        </w:trPr>
        <w:tc>
          <w:tcPr>
            <w:tcW w:w="7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34"/>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0"/>
        </w:trPr>
        <w:tc>
          <w:tcPr>
            <w:tcW w:w="742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0"/>
        </w:trPr>
        <w:tc>
          <w:tcPr>
            <w:tcW w:w="7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5"/>
        </w:trPr>
        <w:tc>
          <w:tcPr>
            <w:tcW w:w="7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The effective tax rates on earnings before income taxes are reconciled to statutory U.S. income tax rates as follows: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3"/>
        </w:trPr>
        <w:tc>
          <w:tcPr>
            <w:tcW w:w="7100" w:type="dxa"/>
            <w:vAlign w:val="bottom"/>
          </w:tcPr>
          <w:p>
            <w:pPr>
              <w:spacing w:after="0"/>
              <w:rPr>
                <w:sz w:val="24"/>
                <w:szCs w:val="24"/>
                <w:color w:val="auto"/>
              </w:rPr>
            </w:pPr>
          </w:p>
        </w:tc>
        <w:tc>
          <w:tcPr>
            <w:tcW w:w="318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rate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U.S. federal income tax effect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earnings taxed at lower rates than the statutory U.S. rate</w:t>
            </w:r>
          </w:p>
        </w:tc>
        <w:tc>
          <w:tcPr>
            <w:tcW w:w="1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of officer compensation</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Worthless stock loss</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adjustments</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deferred taxes</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r>
      <w:tr>
        <w:trPr>
          <w:trHeight w:val="22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rate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0"/>
        </w:trPr>
        <w:tc>
          <w:tcPr>
            <w:tcW w:w="7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r>
      <w:tr>
        <w:trPr>
          <w:trHeight w:val="234"/>
        </w:trPr>
        <w:tc>
          <w:tcPr>
            <w:tcW w:w="71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6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7"/>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7"/>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7"/>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restructuring reserves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7"/>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design costs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7"/>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loss carryforwards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27"/>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w:t>
            </w:r>
          </w:p>
        </w:tc>
      </w:tr>
      <w:tr>
        <w:trPr>
          <w:trHeight w:val="227"/>
        </w:trPr>
        <w:tc>
          <w:tcPr>
            <w:tcW w:w="7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45"/>
        </w:trPr>
        <w:tc>
          <w:tcPr>
            <w:tcW w:w="7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24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7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124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6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27"/>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r>
      <w:tr>
        <w:trPr>
          <w:trHeight w:val="227"/>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27"/>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0"/>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24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4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w:t>
            </w:r>
          </w:p>
        </w:tc>
      </w:tr>
      <w:tr>
        <w:trPr>
          <w:trHeight w:val="20"/>
        </w:trPr>
        <w:tc>
          <w:tcPr>
            <w:tcW w:w="7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73"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973"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table below provides a rollforward of the valuation allowance: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234"/>
        </w:trPr>
        <w:tc>
          <w:tcPr>
            <w:tcW w:w="5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20" w:type="dxa"/>
            <w:vAlign w:val="bottom"/>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27"/>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Movements charged to expense</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7"/>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and other adjustments</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320" w:type="dxa"/>
            <w:vAlign w:val="bottom"/>
            <w:tcBorders>
              <w:bottom w:val="single" w:sz="8" w:color="auto"/>
            </w:tcBorders>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0"/>
        </w:trPr>
        <w:tc>
          <w:tcPr>
            <w:tcW w:w="5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280"/>
        <w:spacing w:after="0" w:line="250" w:lineRule="auto"/>
        <w:rPr>
          <w:sz w:val="20"/>
          <w:szCs w:val="20"/>
          <w:color w:val="auto"/>
        </w:rPr>
      </w:pPr>
      <w:r>
        <w:rPr>
          <w:rFonts w:ascii="Times New Roman" w:cs="Times New Roman" w:eastAsia="Times New Roman" w:hAnsi="Times New Roman"/>
          <w:sz w:val="18"/>
          <w:szCs w:val="18"/>
          <w:color w:val="auto"/>
        </w:rPr>
        <w:t>The Company has U.S. federal tax loss carryforwards of approximately $103.0, which expire periodically through 2037, as well as post-2017 carryforwards of $162.5 that are limited to 80% of taxable income and have an indefinite carryforward period. The utilization of tax loss carryforwards is limited due to change of ownership rules; however, at this time, the Company expects to fully utilize substantially all U.S. federal tax loss carryforwards with the exception of approximately $1.9 for which a full valuation allowance has been provided. The Company has U.S. state tax loss carryforwards of $492.6, a portion of which expire annually, and on which a valuation allowance of $210.4 has been provided. In addition to federal and state tax loss carryforwards, the Company has other federal and state attribute carryforwards of $29.1, all of which have indefinite carryforward periods. The Company has foreign tax loss carryforwards of $108.5, the majority of which have indefinite carryforward periods, but a valuation allowance of $7.8 has been provided for jurisdictions where the future tax benefits of the attributes are not more likely than not to be realized. Additionally, the Company has foreign tax loss carryforwards of $444.7 which expire periodically through 2040 that have full valuation allowances and foreign tax loss carryforwards of $10.9 which expire periodically through 2043. In addition to the foreign net operating losses, the Company has a foreign capital loss carryforward of $26.9 with an indefinite carryforward period and a full valuation allowance.</w:t>
      </w:r>
    </w:p>
    <w:p>
      <w:pPr>
        <w:spacing w:after="0" w:line="97"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The valuation allowance decreased from $150.2 in 2023 to $127.2 in 2024 primarily due to releases of valuation allowances on certain state capital losses and net operating losses as well as releases of valuation allowances on certain foreign and U.S. net operating losses due to corporate reorganizations.</w:t>
      </w:r>
    </w:p>
    <w:p>
      <w:pPr>
        <w:spacing w:after="0" w:line="8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Unrecognized income tax benefits were $32.2 and $29.9 at December 31, 2024, and 2023, respectively. It is anticipated that the amount of the unrecognized income tax benefits will decrease by $10.4 within the next 12 months due to statute of limitation lapses and the conclusion of various examinations; however, these changes are not expected to have a significant impact on the results of operations, cash flows, or the financial position of the Company.</w:t>
      </w:r>
    </w:p>
    <w:p>
      <w:pPr>
        <w:spacing w:after="0" w:line="87"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income tax benefits in Provision for income taxes in the Consolidated Statements of Operations. Accrued interest and penalties related to uncertain tax positions totaled $0.2 and $0.1 at December 31, 2024, and 2023, respectively. During the years ended December 31, 2024, 2023, and 2022, the Company recognized $0.1, $0.0 and $0.8, respectively, in interest and penalties expense, which was offset by a benefit from reversing previous accruals for interest and penalties of $0.0, $1.8 and $0.0, respectively.</w:t>
      </w:r>
    </w:p>
    <w:p>
      <w:pPr>
        <w:spacing w:after="0" w:line="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shows a reconciliation of the unrecognized income tax benefits, excluding interest and penalties, from uncertain tax positions: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1"/>
                <w:szCs w:val="21"/>
                <w:color w:val="auto"/>
              </w:rPr>
            </w:pPr>
          </w:p>
        </w:tc>
      </w:tr>
      <w:tr>
        <w:trPr>
          <w:trHeight w:val="234"/>
        </w:trPr>
        <w:tc>
          <w:tcPr>
            <w:tcW w:w="73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7"/>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reserve for tax positions taken in the current year</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reserve for tax positions taken in a prior period</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7"/>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reserve for tax positions taken in a prior period</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reserve as a result of settlements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7"/>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Decrease in reserve as a result of lapses in the statute of limitations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40" w:type="dxa"/>
            <w:vAlign w:val="bottom"/>
            <w:tcBorders>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At December 31, 2024, 2023, and 2022, there are $32.2, $29.9 and $37.5, respectively, of tax benefits that, if recognized, would favorably impact the effective income tax rate.</w:t>
      </w:r>
    </w:p>
    <w:p>
      <w:pPr>
        <w:spacing w:after="0" w:line="69"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has substantially concluded all U.S. federal income tax matters for years through 2018 and is currently under Internal Revenue Service examination for tax years 2019 through 2022. Substantially all material state and local and foreign income tax matters have been concluded through 2017 and 2018, respectively. The Company has various state and foreign income tax examinations ongoing throughout the year. The Company believes adequate provisions have been recorded related to all open tax years.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As a result of the Tax Cuts and Jobs Act (TCJA), the Company was effectively taxed on all of its previously unremitted foreign earnings. The TCJA also enacts a territorial tax system that allows, for the most part, tax-free repatriation of foreign earnings. The Company still considers the earnings of its foreign subsidiaries to be permanently reinvested, but, if repatriation were to occur, the Company would be required to accrue U.S. taxes, if any, and remit applicable withholding taxes as appropriate. The Company has unremitted earnings and profits of $828.7 and $607.6 that are permanently reinvested in its foreign subsidiaries at December 31, 2024, and 2023, respectively.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0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Pillar Two legislation arising from the Organisation for Economic Co-operation and Development’s base erosion and profit shifting initiative has been enacted or substantively enacted in certain jurisdictions in which the Company operates. The legislation was effective for the Company’s financial year beginning January 1, 2024. The Company is in scope of the enacted or substantively enacted legislation and has performed an assessment of the Company’s potential exposure to Pillar Two income taxes.</w:t>
      </w:r>
    </w:p>
    <w:p>
      <w:pPr>
        <w:spacing w:after="0" w:line="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The assessment of the potential exposure to Pillar Two income taxes is based on the most recent tax filings, country-by-country reporting, and financial statements for the constituent entities in the Company. Based on the assessment, the Pillar Two effective tax rates in most of the jurisdictions in which the Company operates are above 15%. However, there are a limited number of jurisdictions where the transitional safe harbor relief does not apply, and the Pillar Two effective tax rate is close to 15%. Accordingly, the Company has provisioned for $2.7 of incremental income tax expense attributable to Pillar Two.</w:t>
      </w:r>
    </w:p>
    <w:p>
      <w:pPr>
        <w:spacing w:after="0" w:line="68" w:lineRule="exact"/>
        <w:rPr>
          <w:sz w:val="20"/>
          <w:szCs w:val="20"/>
          <w:color w:val="auto"/>
        </w:rPr>
      </w:pPr>
    </w:p>
    <w:p>
      <w:pPr>
        <w:ind w:right="8180" w:firstLine="7"/>
        <w:spacing w:after="0" w:line="396" w:lineRule="auto"/>
        <w:tabs>
          <w:tab w:leader="none" w:pos="31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 Stock Incentive Plans</w:t>
      </w:r>
    </w:p>
    <w:p>
      <w:pPr>
        <w:spacing w:after="0" w:line="1"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In 2016, the shareholders approved the Labcorp Holdings Inc. 2016 Omnibus Incentive Plan (the Plan). Under the Plan, at December 31, 2024, there are 9.0 shares authorized for issuance and 2.8 shares available for grant.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following table summarizes grants of non-qualified options made by the Company to officers, key employees, and non-employee directors under all plans. Stock options are typically granted at an exercise price equal to or greater than the fair market price per share on the date of grant, vest ratably over a period of three years on the anniversaries of the grant date, and have a contractual exercise period of 10 years subject to their earlier expiration or termination.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options outstanding were as follows: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Weighted-Average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Weighted-Average</w:t>
            </w:r>
          </w:p>
        </w:tc>
        <w:tc>
          <w:tcPr>
            <w:tcW w:w="160" w:type="dxa"/>
            <w:vAlign w:val="bottom"/>
          </w:tcPr>
          <w:p>
            <w:pPr>
              <w:spacing w:after="0"/>
              <w:rPr>
                <w:sz w:val="24"/>
                <w:szCs w:val="24"/>
                <w:color w:val="auto"/>
              </w:rPr>
            </w:pPr>
          </w:p>
        </w:tc>
        <w:tc>
          <w:tcPr>
            <w:tcW w:w="1040" w:type="dxa"/>
            <w:vAlign w:val="bottom"/>
            <w:vMerge w:val="restart"/>
          </w:tcPr>
          <w:p>
            <w:pPr>
              <w:jc w:val="center"/>
              <w:ind w:right="51"/>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78"/>
        </w:trPr>
        <w:tc>
          <w:tcPr>
            <w:tcW w:w="4780" w:type="dxa"/>
            <w:vAlign w:val="bottom"/>
          </w:tcPr>
          <w:p>
            <w:pPr>
              <w:spacing w:after="0"/>
              <w:rPr>
                <w:sz w:val="15"/>
                <w:szCs w:val="15"/>
                <w:color w:val="auto"/>
              </w:rPr>
            </w:pPr>
          </w:p>
        </w:tc>
        <w:tc>
          <w:tcPr>
            <w:tcW w:w="12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0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color w:val="auto"/>
                <w:w w:val="98"/>
              </w:rPr>
              <w:t>Exercise Price</w:t>
            </w:r>
          </w:p>
        </w:tc>
        <w:tc>
          <w:tcPr>
            <w:tcW w:w="200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color w:val="auto"/>
                <w:w w:val="97"/>
              </w:rPr>
              <w:t>Contractual Term</w:t>
            </w:r>
          </w:p>
        </w:tc>
        <w:tc>
          <w:tcPr>
            <w:tcW w:w="160" w:type="dxa"/>
            <w:vAlign w:val="bottom"/>
          </w:tcPr>
          <w:p>
            <w:pPr>
              <w:spacing w:after="0"/>
              <w:rPr>
                <w:sz w:val="15"/>
                <w:szCs w:val="15"/>
                <w:color w:val="auto"/>
              </w:rPr>
            </w:pPr>
          </w:p>
        </w:tc>
        <w:tc>
          <w:tcPr>
            <w:tcW w:w="104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12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per Option</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(in Years)</w:t>
            </w:r>
          </w:p>
        </w:tc>
        <w:tc>
          <w:tcPr>
            <w:tcW w:w="160" w:type="dxa"/>
            <w:vAlign w:val="bottom"/>
          </w:tcPr>
          <w:p>
            <w:pPr>
              <w:spacing w:after="0"/>
              <w:rPr>
                <w:sz w:val="20"/>
                <w:szCs w:val="20"/>
                <w:color w:val="auto"/>
              </w:rPr>
            </w:pPr>
          </w:p>
        </w:tc>
        <w:tc>
          <w:tcPr>
            <w:tcW w:w="10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7"/>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0.6</w:t>
            </w:r>
          </w:p>
        </w:tc>
        <w:tc>
          <w:tcPr>
            <w:tcW w:w="30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180.29</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line="20" w:lineRule="exact"/>
              <w:rPr>
                <w:sz w:val="1"/>
                <w:szCs w:val="1"/>
                <w:color w:val="auto"/>
              </w:rPr>
            </w:pPr>
          </w:p>
        </w:tc>
      </w:tr>
      <w:tr>
        <w:trPr>
          <w:trHeight w:val="206"/>
        </w:trPr>
        <w:tc>
          <w:tcPr>
            <w:tcW w:w="4780" w:type="dxa"/>
            <w:vAlign w:val="bottom"/>
            <w:vMerge w:val="continue"/>
          </w:tcPr>
          <w:p>
            <w:pPr>
              <w:spacing w:after="0"/>
              <w:rPr>
                <w:sz w:val="17"/>
                <w:szCs w:val="17"/>
                <w:color w:val="auto"/>
              </w:rPr>
            </w:pPr>
          </w:p>
        </w:tc>
        <w:tc>
          <w:tcPr>
            <w:tcW w:w="12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0.5</w:t>
            </w:r>
          </w:p>
        </w:tc>
        <w:tc>
          <w:tcPr>
            <w:tcW w:w="300" w:type="dxa"/>
            <w:vAlign w:val="bottom"/>
            <w:gridSpan w:val="2"/>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Cash received by the Company from option exercises, the actual tax benefit realized for the tax deductions and the aggregate intrinsic value of options exercised from option exercises under all share-based payment arrangements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34"/>
        </w:trPr>
        <w:tc>
          <w:tcPr>
            <w:tcW w:w="74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by the Company</w:t>
            </w:r>
          </w:p>
        </w:tc>
        <w:tc>
          <w:tcPr>
            <w:tcW w:w="8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benefits realized</w:t>
            </w:r>
          </w:p>
        </w:tc>
        <w:tc>
          <w:tcPr>
            <w:tcW w:w="84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84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ind w:firstLine="200"/>
        <w:spacing w:after="0" w:line="277" w:lineRule="auto"/>
        <w:rPr>
          <w:sz w:val="20"/>
          <w:szCs w:val="20"/>
          <w:color w:val="auto"/>
        </w:rPr>
      </w:pPr>
      <w:r>
        <w:rPr>
          <w:rFonts w:ascii="Times New Roman" w:cs="Times New Roman" w:eastAsia="Times New Roman" w:hAnsi="Times New Roman"/>
          <w:sz w:val="18"/>
          <w:szCs w:val="18"/>
          <w:color w:val="auto"/>
        </w:rPr>
        <w:t>The following table shows the weighted-average grant-date fair values of options issued during the respective year and the weighted-average assumptions that the Company used to develop the fair value estimates: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r>
      <w:tr>
        <w:trPr>
          <w:trHeight w:val="234"/>
        </w:trPr>
        <w:tc>
          <w:tcPr>
            <w:tcW w:w="6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option</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68.35</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2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bl>
    <w:p>
      <w:pPr>
        <w:spacing w:after="0" w:line="195"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Black-Scholes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estimates expected option terms through an analysis of actual, historical post-vesting exercise, cancellation and expiration behavior by employees and projected post-vesting activity of outstanding options. Groups of employees and non-employee directors that have similar exercise behavior with regard to option exercise timing and forfeiture rates are considered separately for valuation purposes. For 2024, 2023 and 2022, expense related to the Company’s stock option plan totaled $5.2, $3.8, and $4.3, respectively, and is included in Selling, general and administrative expenses in the Consolidated Statements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Restricted Stock Units and Performance Shares</w:t>
      </w:r>
    </w:p>
    <w:p>
      <w:pPr>
        <w:spacing w:after="0" w:line="144" w:lineRule="exact"/>
        <w:rPr>
          <w:sz w:val="20"/>
          <w:szCs w:val="20"/>
          <w:color w:val="auto"/>
        </w:rPr>
      </w:pPr>
    </w:p>
    <w:p>
      <w:pPr>
        <w:jc w:val="both"/>
        <w:ind w:firstLine="280"/>
        <w:spacing w:after="0" w:line="250" w:lineRule="auto"/>
        <w:rPr>
          <w:sz w:val="20"/>
          <w:szCs w:val="20"/>
          <w:color w:val="auto"/>
        </w:rPr>
      </w:pPr>
      <w:r>
        <w:rPr>
          <w:rFonts w:ascii="Times New Roman" w:cs="Times New Roman" w:eastAsia="Times New Roman" w:hAnsi="Times New Roman"/>
          <w:sz w:val="18"/>
          <w:szCs w:val="18"/>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one-third increments beginning on the first anniversary of the grant. A performance share grant in 2022 represents a three-year award opportunity for the period 2022-2024, and if earned, vests fully (to the extent earned) in the first quarter of 2025. A performance share grant in 2023 represents a three-year award opportunity for the period of 2023-2025 and, if earned, vests fully (to the extent earned) in the first quarter of 2026. A performance share grant in 2024 represents a three-year award opportunity for the period of 2024-2026 and, if earned, vests fully (to the extent earned) in the first quarter of 2027.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when probable, over the applicable vesting periods. For 2024, 2023, and 2022, total restricted stock, restricted stock unit, and performance share compensation expense was $96.6, $111.1, and $97.7, respectively.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following table shows a summary of non-vested shares for the year ended December 31, 2024:</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93"/>
        </w:trPr>
        <w:tc>
          <w:tcPr>
            <w:tcW w:w="77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47"/>
        </w:trPr>
        <w:tc>
          <w:tcPr>
            <w:tcW w:w="77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Grant Date Fair Value</w:t>
            </w: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w:t>
            </w:r>
          </w:p>
        </w:tc>
      </w:tr>
      <w:tr>
        <w:trPr>
          <w:trHeight w:val="227"/>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7"/>
              </w:rPr>
              <w:t>0.5</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224.23</w:t>
            </w:r>
          </w:p>
        </w:tc>
      </w:tr>
      <w:tr>
        <w:trPr>
          <w:trHeight w:val="227"/>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w w:val="98"/>
              </w:rPr>
              <w:t>(0.5)</w:t>
            </w:r>
          </w:p>
        </w:tc>
        <w:tc>
          <w:tcPr>
            <w:tcW w:w="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w:t>
            </w:r>
          </w:p>
        </w:tc>
      </w:tr>
      <w:tr>
        <w:trPr>
          <w:trHeight w:val="227"/>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240" w:type="dxa"/>
            <w:vAlign w:val="bottom"/>
            <w:tcBorders>
              <w:bottom w:val="single" w:sz="8" w:color="auto"/>
            </w:tcBorders>
          </w:tcPr>
          <w:p>
            <w:pPr>
              <w:jc w:val="center"/>
              <w:ind w:left="771"/>
              <w:spacing w:after="0"/>
              <w:rPr>
                <w:sz w:val="20"/>
                <w:szCs w:val="20"/>
                <w:color w:val="auto"/>
              </w:rPr>
            </w:pPr>
            <w:r>
              <w:rPr>
                <w:rFonts w:ascii="Times New Roman" w:cs="Times New Roman" w:eastAsia="Times New Roman" w:hAnsi="Times New Roman"/>
                <w:sz w:val="18"/>
                <w:szCs w:val="18"/>
                <w:color w:val="auto"/>
                <w:w w:val="98"/>
              </w:rPr>
              <w:t>(0.1)</w:t>
            </w:r>
          </w:p>
        </w:tc>
        <w:tc>
          <w:tcPr>
            <w:tcW w:w="320" w:type="dxa"/>
            <w:vAlign w:val="bottom"/>
            <w:tcBorders>
              <w:bottom w:val="single" w:sz="8" w:color="CCEEFF"/>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222.52</w:t>
            </w:r>
          </w:p>
        </w:tc>
      </w:tr>
      <w:tr>
        <w:trPr>
          <w:trHeight w:val="24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40" w:type="dxa"/>
            <w:vAlign w:val="bottom"/>
            <w:tcBorders>
              <w:bottom w:val="single" w:sz="8" w:color="auto"/>
            </w:tcBorders>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7"/>
              </w:rPr>
              <w:t>0.9</w:t>
            </w:r>
          </w:p>
        </w:tc>
        <w:tc>
          <w:tcPr>
            <w:tcW w:w="320" w:type="dxa"/>
            <w:vAlign w:val="bottom"/>
            <w:tcBorders>
              <w:bottom w:val="single" w:sz="8" w:color="CCEEFF"/>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Compensation Cost</w:t>
      </w:r>
    </w:p>
    <w:p>
      <w:pPr>
        <w:spacing w:after="0" w:line="131" w:lineRule="exact"/>
        <w:rPr>
          <w:sz w:val="20"/>
          <w:szCs w:val="20"/>
          <w:color w:val="auto"/>
        </w:rPr>
      </w:pPr>
    </w:p>
    <w:p>
      <w:pPr>
        <w:jc w:val="both"/>
        <w:ind w:firstLine="200"/>
        <w:spacing w:after="0" w:line="257" w:lineRule="auto"/>
        <w:rPr>
          <w:sz w:val="20"/>
          <w:szCs w:val="20"/>
          <w:color w:val="auto"/>
        </w:rPr>
      </w:pPr>
      <w:r>
        <w:rPr>
          <w:rFonts w:ascii="Times New Roman" w:cs="Times New Roman" w:eastAsia="Times New Roman" w:hAnsi="Times New Roman"/>
          <w:sz w:val="18"/>
          <w:szCs w:val="18"/>
          <w:color w:val="auto"/>
        </w:rPr>
        <w:t>At December 31, 2024, there was $100.6 of total unrecognized compensation cost related to non-vested stock options, restricted stock, restricted stock unit and performance share-based compensation arrangements granted under the Company’s stock incentive plans. That cost is expected to be recognized over a weighted-average period of 1.7 years and will be included in Cost of revenues and Selling, general and administrative expenses in the Consolidated Statements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4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Under the 2016 Employee Stock Purchase Plan, the Company is authorized to issue 1.8 shares of Common Stock. The plan permits substantially all U.S., Canada, and United Kingdom employees to purchase a limited number of shares of Company stock at 85% of market value. The Company issues Common Stock to participating employees semi-annually in January and July of each year, although due to the spin-off of Fortrea shares for the first offering period were issued in May of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Approximately 0.3, 0.3, and 0.2 shares were purchased by eligible employees in 2024, 2023, and 2022, respectively. For 2024, 2023, and 2022, expense related to the Company’s employee stock purchase plan was $14.9, $13.8, and $14.8, respectively.</w:t>
      </w:r>
    </w:p>
    <w:p>
      <w:pPr>
        <w:spacing w:after="0" w:line="83"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r>
      <w:tr>
        <w:trPr>
          <w:trHeight w:val="234"/>
        </w:trPr>
        <w:tc>
          <w:tcPr>
            <w:tcW w:w="6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the employee’s purchase right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62.50</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44" w:lineRule="exact"/>
        <w:rPr>
          <w:sz w:val="20"/>
          <w:szCs w:val="20"/>
          <w:color w:val="auto"/>
        </w:rPr>
      </w:pPr>
    </w:p>
    <w:p>
      <w:pPr>
        <w:jc w:val="both"/>
        <w:ind w:firstLine="280"/>
        <w:spacing w:after="0" w:line="268" w:lineRule="auto"/>
        <w:rPr>
          <w:sz w:val="20"/>
          <w:szCs w:val="20"/>
          <w:color w:val="auto"/>
        </w:rPr>
      </w:pPr>
      <w:r>
        <w:rPr>
          <w:rFonts w:ascii="Times New Roman" w:cs="Times New Roman" w:eastAsia="Times New Roman" w:hAnsi="Times New Roman"/>
          <w:sz w:val="17"/>
          <w:szCs w:val="17"/>
          <w:color w:val="auto"/>
        </w:rPr>
        <w:t>The Company (and/or its subsidiaries and affiliates)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82"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7"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105"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Financial Accounting Standards Board (FASB) Accounting Standards Codification Topic 450 “Contingencies,” the Company establishes reserves for judicial, regulatory, and arbitration matters outside the aggregate legal reserve if and when those matters present loss contingencies that are both probable and reasonably estimable. When loss contingencies are not both probable and reasonably estimable, the Company does not establish separate reserves.</w:t>
      </w:r>
    </w:p>
    <w:p>
      <w:pPr>
        <w:spacing w:after="0" w:line="9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9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On December 31, 2024, the Texas Court of Appeals issued a decision reversing the District Court’s order granting the Company’s Motion for Partial Summary Judgement. The Company will vigorously defend the lawsuit.</w:t>
      </w:r>
    </w:p>
    <w:p>
      <w:pPr>
        <w:spacing w:after="0" w:line="10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On or about October 31, 2024, Labcorp and the Plaintiff (on behalf of the putative class) entered into a Settlement Agreement. That settlement is awaiting preliminary approval by the court.</w:t>
      </w:r>
    </w:p>
    <w:p>
      <w:pPr>
        <w:spacing w:after="0" w:line="90"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On December 29, 2021, the Company was served with a putative class action lawsuit, </w:t>
      </w:r>
      <w:r>
        <w:rPr>
          <w:rFonts w:ascii="Times New Roman" w:cs="Times New Roman" w:eastAsia="Times New Roman" w:hAnsi="Times New Roman"/>
          <w:sz w:val="18"/>
          <w:szCs w:val="18"/>
          <w:i w:val="1"/>
          <w:iCs w:val="1"/>
          <w:color w:val="auto"/>
        </w:rPr>
        <w:t>Nathaniel J. Nolan, et al. v. Laboratory Corporation of America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w:t>
      </w:r>
      <w:r>
        <w:rPr>
          <w:rFonts w:ascii="Times New Roman" w:cs="Times New Roman" w:eastAsia="Times New Roman" w:hAnsi="Times New Roman"/>
          <w:sz w:val="18"/>
          <w:szCs w:val="18"/>
          <w:color w:val="auto"/>
        </w:rPr>
        <w:t>, filed in the U.S. District Court for the Middle District of North Carolina. The complaint alleges that the Company’s patient acknowledgement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On March 13, 2023, Plaintiffs filed a Notice of Appeal. On April 10, 2024, the U.S. Court of Appeals for the Fourth Circuit issued an order affirming in part, reversing in part, and remanding the case to the District Court for further proceedings. In October 2024, the claims were resolved pursuant to a settlement.</w:t>
      </w:r>
    </w:p>
    <w:p>
      <w:pPr>
        <w:spacing w:after="0" w:line="9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9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83"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per se,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On November 1, 2024, Plaintiffs served their motion for class certification. The Company will vigorously defend the remaining claims in the multi-district litigation.</w:t>
      </w:r>
    </w:p>
    <w:p>
      <w:pPr>
        <w:spacing w:after="0" w:line="8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 asserts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9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 Company filed a petition for Writ of Certiorari with the United States Supreme Court. On January 24, 2025, the United States Supreme Court granted the Company’s Petition for Writ of Certiorari limited to the following question: Whether a federal court may certify a class action pursuant to Federal Rule of Civil Procedure 23(b)(3) when some members of the proposed class lack any Article III injury. The Company will vigorously defend the lawsuit.</w:t>
      </w:r>
    </w:p>
    <w:p>
      <w:pPr>
        <w:spacing w:after="0" w:line="102" w:lineRule="exact"/>
        <w:rPr>
          <w:sz w:val="20"/>
          <w:szCs w:val="20"/>
          <w:color w:val="auto"/>
        </w:rPr>
      </w:pPr>
    </w:p>
    <w:p>
      <w:pPr>
        <w:jc w:val="both"/>
        <w:ind w:firstLine="280"/>
        <w:spacing w:after="0" w:line="255"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sought monetary damages, enhancement of those damages for willfulness, and recovery of attorney’s fees and costs. On September 28, 2022, a jury rendered a verdict in favor of the Plaintiff on the sole asserted patent finding that the Company willfully infringed Ravgen’s patent, and awarded damages of $272.0. Plaintiff filed post-trial motions seeking enhanced damages of up to $817.0 based on the finding of willfulness, as well as attorney’s fees and costs. On May 12, 2023,</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court issued an order granting Plaintiff’s motion in part and awarding enhanced damages of $100.0. On January 23, 2025, the court issued an order awarding Plaintiff post-verdict supplemental damages of $2.6, an ongoing royalty of one hundred dollars and 00/100 cents per test through the life of the patent at issue, pre- and post-judgment interest, and other relief. In January and February 2025, the trial court entered orders denying the Company’s post-trial motions.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that decision was upheld on appeal before the United States Court of Appeals for the Federal Circuit in January 2025.</w:t>
      </w:r>
    </w:p>
    <w:p>
      <w:pPr>
        <w:spacing w:after="0" w:line="104" w:lineRule="exact"/>
        <w:rPr>
          <w:sz w:val="20"/>
          <w:szCs w:val="20"/>
          <w:color w:val="auto"/>
        </w:rPr>
      </w:pPr>
    </w:p>
    <w:p>
      <w:pPr>
        <w:jc w:val="both"/>
        <w:ind w:firstLine="280"/>
        <w:spacing w:after="0" w:line="255"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w:t>
      </w:r>
    </w:p>
    <w:p>
      <w:pPr>
        <w:spacing w:after="0" w:line="90" w:lineRule="exact"/>
        <w:rPr>
          <w:sz w:val="20"/>
          <w:szCs w:val="20"/>
          <w:color w:val="auto"/>
        </w:rPr>
      </w:pPr>
    </w:p>
    <w:p>
      <w:pPr>
        <w:jc w:val="both"/>
        <w:ind w:firstLine="280"/>
        <w:spacing w:after="0" w:line="250" w:lineRule="auto"/>
        <w:rPr>
          <w:sz w:val="20"/>
          <w:szCs w:val="20"/>
          <w:color w:val="auto"/>
        </w:rPr>
      </w:pPr>
      <w:r>
        <w:rPr>
          <w:rFonts w:ascii="Times New Roman" w:cs="Times New Roman" w:eastAsia="Times New Roman" w:hAnsi="Times New Roman"/>
          <w:sz w:val="18"/>
          <w:szCs w:val="18"/>
          <w:color w:val="auto"/>
        </w:rPr>
        <w:t xml:space="preserve">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The second lawsuit seeks to recover civil penalties and recovery of attorney’s fees 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The court granted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on March 17, 2023, and of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on November 29, 2023. The settlement funds for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Bermejo II </w:t>
      </w:r>
      <w:r>
        <w:rPr>
          <w:rFonts w:ascii="Times New Roman" w:cs="Times New Roman" w:eastAsia="Times New Roman" w:hAnsi="Times New Roman"/>
          <w:sz w:val="18"/>
          <w:szCs w:val="18"/>
          <w:color w:val="auto"/>
        </w:rPr>
        <w:t>settlements have been transferred to a claims administrator for processing. Once the claims administration is completed, the parties will seek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approval from the court.</w:t>
      </w:r>
    </w:p>
    <w:p>
      <w:pPr>
        <w:spacing w:after="0" w:line="95"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 xml:space="preserve">On November 23, 2021, the Company was served with a single plaintiff Private Attorney General Act lawsuit, </w:t>
      </w:r>
      <w:r>
        <w:rPr>
          <w:rFonts w:ascii="Times New Roman" w:cs="Times New Roman" w:eastAsia="Times New Roman" w:hAnsi="Times New Roman"/>
          <w:sz w:val="18"/>
          <w:szCs w:val="18"/>
          <w:i w:val="1"/>
          <w:iCs w:val="1"/>
          <w:color w:val="auto"/>
        </w:rPr>
        <w:t>Poole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 filed in the Superior Court of California, County of Kern, alleging various violations of the California Labor Code, including that Plaintiff was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properly paid wages owed, not properly paid meal and rest break premiums, not reimbursed for certain business related expenses, and other allegations including the untimely payment of wages and receipt of inaccurate wage statements. The lawsuit sought monetary damages, civil penalties, and recovery of attorney’s fees and costs. The case was removed to the U.S. District Court for the Eastern District of California. The parties entered into a settlement agreement in January 2025 and will seek dismissal of the action.</w:t>
      </w:r>
    </w:p>
    <w:p>
      <w:pPr>
        <w:spacing w:after="0" w:line="105"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September 27, 2024, the Court denied the Motion to Dismiss the Amended Complaint. The Company will vigorously defend the lawsuit.</w:t>
      </w:r>
    </w:p>
    <w:p>
      <w:pPr>
        <w:spacing w:after="0" w:line="9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has responded to this request.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responded to the DOJ.</w:t>
      </w:r>
    </w:p>
    <w:p>
      <w:pPr>
        <w:spacing w:after="0" w:line="8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69"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In April 2023, the Company received Civil Investigative Demands issued by the DOJ in Washington, D.C. requiring the production of information related to the Medicare billing rule regarding reimbursement for laboratory testing performed for hospital patients. The Company cooperated with the DOJ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an agreement dated September 26, 2024, to resolve the matter</w:t>
      </w:r>
      <w:r>
        <w:rPr>
          <w:rFonts w:ascii="Times New Roman" w:cs="Times New Roman" w:eastAsia="Times New Roman" w:hAnsi="Times New Roman"/>
          <w:sz w:val="21"/>
          <w:szCs w:val="21"/>
          <w:color w:val="008080"/>
        </w:rPr>
        <w:t>.</w:t>
      </w:r>
    </w:p>
    <w:p>
      <w:pPr>
        <w:spacing w:after="0" w:line="124"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On February 13, 2024, a putative class action lawsuit, </w:t>
      </w:r>
      <w:r>
        <w:rPr>
          <w:rFonts w:ascii="Times New Roman" w:cs="Times New Roman" w:eastAsia="Times New Roman" w:hAnsi="Times New Roman"/>
          <w:sz w:val="18"/>
          <w:szCs w:val="18"/>
          <w:i w:val="1"/>
          <w:iCs w:val="1"/>
          <w:color w:val="auto"/>
        </w:rPr>
        <w:t>Michael Wiggins and Teri Stevens v. Laboratory Corporation of America Holdings</w:t>
      </w:r>
      <w:r>
        <w:rPr>
          <w:rFonts w:ascii="Times New Roman" w:cs="Times New Roman" w:eastAsia="Times New Roman" w:hAnsi="Times New Roman"/>
          <w:sz w:val="18"/>
          <w:szCs w:val="18"/>
          <w:color w:val="auto"/>
        </w:rPr>
        <w:t>, was filed in the U.S. District Court for the Eastern District of Pennsylvania, alleging that the Company’s website includes a computer code created by Google that sent information to Google related to Plaintiffs and their online activities. Plaintiffs assert statutory and common law claims against the Company and seek to represent a class of all persons whose protected health information was allegedly shared with Google from the Company’s website before March 8, 2023. Plaintiffs seek an injunction, damages, attorneys’ fees, and costs. On April 12, 2024, the Company filed a Motion to Compel Arbitration and Stay Proceedings. On October 11, 2024, the court granted the Motion to Compel Arbitration and Stay Proceedings. In December 2024, the claims were resolved pursuant to a settlement.</w:t>
      </w:r>
    </w:p>
    <w:p>
      <w:pPr>
        <w:spacing w:after="0" w:line="9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8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83" w:lineRule="exact"/>
        <w:rPr>
          <w:sz w:val="20"/>
          <w:szCs w:val="20"/>
          <w:color w:val="auto"/>
        </w:rPr>
      </w:pPr>
    </w:p>
    <w:p>
      <w:pPr>
        <w:ind w:right="7340" w:firstLine="7"/>
        <w:spacing w:after="0" w:line="396" w:lineRule="auto"/>
        <w:tabs>
          <w:tab w:leader="none" w:pos="31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 Defined Contribution Retirement Plans</w:t>
      </w:r>
    </w:p>
    <w:p>
      <w:pPr>
        <w:spacing w:after="0" w:line="1"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7"/>
          <w:szCs w:val="17"/>
          <w:color w:val="auto"/>
        </w:rPr>
        <w:t>The Company has various U.S. defined contribution retirement plans (401K Plans). Under these 401K Plans, employees can contribute a portion of their salary to the plan and the Company makes minimum non-elective contributions, discretionary contributions, and matching contributions, depending on the terms of the specific plan. On January 1, 2021, all of the 401K Plans were modified to provide for 100% match of employee contributions up to 5% of their salary. Total expense relating to the 401K Plans for the years ended December 31, 2024, 2023, and 2022 was $153.5, $167.6, and $128.2,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4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sponsors both funded and unfunded defined benefit pension plans which provide benefits based on various criteria such as years of service and salary. The Company maintained two plans in the United States, two plans in the United Kingdom and one in Germany.</w:t>
      </w:r>
    </w:p>
    <w:p>
      <w:pPr>
        <w:spacing w:after="0" w:line="6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two plans in the United States (U.S. Plans) were closed to new entrants and the accrual of service credits at the end of 2009. The United Kingdom (UK) pension plan was closed to new entrants and the accrual of service credits for one plan as of December 31, 2002, and the accrual of service credits for the other plan as of December 31, 2019. The German plan was closed to new entrants on December 31, 2009, but participants continue to accrue service credits. The UK and German plans are aggregated for disclosure as the Non-U.S. Plans.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Periodic Benefit Costs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the net periodic benefit costs for the defined benefit pension plans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 S. Plans</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34"/>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4"/>
        </w:trPr>
        <w:tc>
          <w:tcPr>
            <w:tcW w:w="3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Defined-benefit plan costs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Service costs are the only component of net periodic benefit costs recorded within Operating income in the Company’s Consolidated Statements of Operations. For the year ended December 31, 2023, the Company recognized a partial plan settlement charge of $10.9 as a component of Other, net in the Company’s Consolidated Statements of Operations.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amounts recognized in Accumulated other comprehensive loss in the Company’s Consolidated Balance Sheets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U. S. Plans</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6"/>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Non-U.S. Plans</w:t>
            </w:r>
          </w:p>
        </w:tc>
      </w:tr>
      <w:tr>
        <w:trPr>
          <w:trHeight w:val="234"/>
        </w:trPr>
        <w:tc>
          <w:tcPr>
            <w:tcW w:w="5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34"/>
        </w:trPr>
        <w:tc>
          <w:tcPr>
            <w:tcW w:w="57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 in accumulated other comprehensive earnings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42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Projected Benefit Obligation</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change in the projected benefit obligation is as follows:</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0"/>
        </w:trPr>
        <w:tc>
          <w:tcPr>
            <w:tcW w:w="5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w w:val="96"/>
              </w:rPr>
              <w:t>U.S. Plans</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Non-U.S. Plans</w:t>
            </w:r>
          </w:p>
        </w:tc>
      </w:tr>
      <w:tr>
        <w:trPr>
          <w:trHeight w:val="234"/>
        </w:trPr>
        <w:tc>
          <w:tcPr>
            <w:tcW w:w="5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34"/>
        </w:trPr>
        <w:tc>
          <w:tcPr>
            <w:tcW w:w="57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27"/>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7"/>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7"/>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7"/>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7"/>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5"/>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accumulated benefit obligation at December 31, 2024, and 2023 was $213.4 and $231.9, respectively for the U.S. Plans and $298.0 and $345.7, respectively for the Non-U.S. Plans.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Plan Assets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4"/>
        </w:trPr>
        <w:tc>
          <w:tcPr>
            <w:tcW w:w="6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change in plan assets is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3"/>
        </w:trPr>
        <w:tc>
          <w:tcPr>
            <w:tcW w:w="6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Non-U.S. Plans</w:t>
            </w:r>
          </w:p>
        </w:tc>
      </w:tr>
      <w:tr>
        <w:trPr>
          <w:trHeight w:val="234"/>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4"/>
        </w:trPr>
        <w:tc>
          <w:tcPr>
            <w:tcW w:w="6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27"/>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contributions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7"/>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7"/>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7"/>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Funded Status and Reconciliation of Amounts Recorded in the Consolidated Balance Sheets</w:t>
      </w:r>
    </w:p>
    <w:p>
      <w:pPr>
        <w:spacing w:after="0" w:line="144"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8"/>
          <w:szCs w:val="18"/>
          <w:color w:val="auto"/>
        </w:rPr>
        <w:t>The change in the funded status of the plan and a reconciliation of such funded status to the amounts reported in the Company’s Consolidated Balance Sheets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Non-U.S. Plans</w:t>
            </w:r>
          </w:p>
        </w:tc>
      </w:tr>
      <w:tr>
        <w:trPr>
          <w:trHeight w:val="234"/>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4"/>
        </w:trPr>
        <w:tc>
          <w:tcPr>
            <w:tcW w:w="6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 (deficit) surplus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7"/>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7"/>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 S. Plans</w:t>
            </w: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820" w:type="dxa"/>
            <w:vAlign w:val="bottom"/>
            <w:tcBorders>
              <w:bottom w:val="single" w:sz="8" w:color="auto"/>
            </w:tcBorders>
          </w:tcPr>
          <w:p>
            <w:pPr>
              <w:spacing w:after="0"/>
              <w:rPr>
                <w:sz w:val="21"/>
                <w:szCs w:val="21"/>
                <w:color w:val="auto"/>
              </w:rPr>
            </w:pPr>
          </w:p>
        </w:tc>
      </w:tr>
      <w:tr>
        <w:trPr>
          <w:trHeight w:val="234"/>
        </w:trPr>
        <w:tc>
          <w:tcPr>
            <w:tcW w:w="49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4"/>
        </w:trPr>
        <w:tc>
          <w:tcPr>
            <w:tcW w:w="498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 term rate of return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89"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A one percentage point decrease or increase in the discount rate would have resulted in a respective increase or decrease in 2024 retirement plan expense of $0.2 for the U.S. Plans. A one percentage point decrease or increase in the discount rate would have resulted in a respective increase or decrease in 2024 retirement plan expense of $0.6 for the Non-U.S. Plans.</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obligations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80" w:type="dxa"/>
            <w:vAlign w:val="bottom"/>
          </w:tcPr>
          <w:p>
            <w:pPr>
              <w:spacing w:after="0"/>
              <w:rPr>
                <w:sz w:val="21"/>
                <w:szCs w:val="21"/>
                <w:color w:val="auto"/>
              </w:rPr>
            </w:pPr>
          </w:p>
        </w:tc>
        <w:tc>
          <w:tcPr>
            <w:tcW w:w="21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208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Non-U.S. Plans</w:t>
            </w:r>
          </w:p>
        </w:tc>
      </w:tr>
      <w:tr>
        <w:trPr>
          <w:trHeight w:val="234"/>
        </w:trPr>
        <w:tc>
          <w:tcPr>
            <w:tcW w:w="6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34"/>
        </w:trPr>
        <w:tc>
          <w:tcPr>
            <w:tcW w:w="69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109" w:lineRule="exact"/>
        <w:rPr>
          <w:sz w:val="20"/>
          <w:szCs w:val="20"/>
          <w:color w:val="auto"/>
        </w:rPr>
      </w:pPr>
    </w:p>
    <w:p>
      <w:pPr>
        <w:jc w:val="both"/>
        <w:ind w:right="20" w:firstLine="280"/>
        <w:spacing w:after="0" w:line="262" w:lineRule="auto"/>
        <w:rPr>
          <w:sz w:val="20"/>
          <w:szCs w:val="20"/>
          <w:color w:val="auto"/>
        </w:rPr>
      </w:pPr>
      <w:r>
        <w:rPr>
          <w:rFonts w:ascii="Times New Roman" w:cs="Times New Roman" w:eastAsia="Times New Roman" w:hAnsi="Times New Roman"/>
          <w:sz w:val="18"/>
          <w:szCs w:val="18"/>
          <w:color w:val="auto"/>
        </w:rPr>
        <w:t>The discount rate is determined using the weighted-average yields on high-quality fixed income securities that have maturities consistent with the timing of benefit payments. Lower discount rates increase the size of the benefit obligation and generally increase pension expense in the following year; higher discount rates reduce the size of the benefit obligation and generally reduce subsequent-year pension expense.</w:t>
      </w:r>
    </w:p>
    <w:p>
      <w:pPr>
        <w:spacing w:after="0" w:line="96"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The expected return on plan assets is the estimated long-term rate of return that will be earned on the investments used to fund the pension obligations. To determine this rate, the Company considers the composition of plan investments, historical returns earned, and expectations about the future.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2024 pension expense of $1.8 for the U.S. Plans. A one percentage point increase or decrease in the expected return on plan assets would have resulted in a corresponding change in 2024 pension expense of $3.4 for the Non-U.S. Plans.</w:t>
      </w:r>
    </w:p>
    <w:p>
      <w:pPr>
        <w:spacing w:after="0" w:line="92"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The salary increase assumptions are used to estimate the annual rate at which pay of plan participants will grow. If the rate of growth assumed increases, the size of the pension obligations will increase, as will the amount recorded in Accumulated other comprehensive loss in the Company’s Consolidated Balance Sheets and amortized into earnings in subsequent periods.</w:t>
      </w:r>
    </w:p>
    <w:p>
      <w:pPr>
        <w:spacing w:after="0" w:line="83"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The Company evaluates other assumptions periodically, such as retirement age, mortality and turnover, and updates them as necessary to reflect the Company’s actual experience and expectations for the future. Differences between actual results and assumptions utilized are recorded in Accumulated other comprehensive income each period. These differences are amortized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earnings over the remaining average future service of active participating employees or the expected life of inactive participants, as applicable.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Assets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fair values of the assets by asset category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173"/>
        </w:trPr>
        <w:tc>
          <w:tcPr>
            <w:tcW w:w="4140" w:type="dxa"/>
            <w:vAlign w:val="bottom"/>
          </w:tcPr>
          <w:p>
            <w:pPr>
              <w:spacing w:after="0"/>
              <w:rPr>
                <w:sz w:val="15"/>
                <w:szCs w:val="15"/>
                <w:color w:val="auto"/>
              </w:rPr>
            </w:pPr>
          </w:p>
        </w:tc>
        <w:tc>
          <w:tcPr>
            <w:tcW w:w="176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color w:val="auto"/>
                <w:w w:val="98"/>
              </w:rPr>
              <w:t>Level of Valuation</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8"/>
                <w:szCs w:val="18"/>
                <w:color w:val="auto"/>
              </w:rPr>
              <w:t>Investments valued using NAV</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Input</w:t>
            </w:r>
          </w:p>
        </w:tc>
        <w:tc>
          <w:tcPr>
            <w:tcW w:w="240" w:type="dxa"/>
            <w:vAlign w:val="bottom"/>
          </w:tcPr>
          <w:p>
            <w:pPr>
              <w:spacing w:after="0"/>
              <w:rPr>
                <w:sz w:val="21"/>
                <w:szCs w:val="21"/>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1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per share</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Total</w:t>
            </w:r>
          </w:p>
        </w:tc>
      </w:tr>
      <w:tr>
        <w:trPr>
          <w:trHeight w:val="21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U.S Plans</w:t>
            </w: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 index funds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 index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bond index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45"/>
        </w:trPr>
        <w:tc>
          <w:tcPr>
            <w:tcW w:w="4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4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Non-U.S. Plans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investment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45"/>
        </w:trPr>
        <w:tc>
          <w:tcPr>
            <w:tcW w:w="4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182"/>
        </w:trPr>
        <w:tc>
          <w:tcPr>
            <w:tcW w:w="4140" w:type="dxa"/>
            <w:vAlign w:val="bottom"/>
          </w:tcPr>
          <w:p>
            <w:pPr>
              <w:spacing w:after="0"/>
              <w:rPr>
                <w:sz w:val="15"/>
                <w:szCs w:val="15"/>
                <w:color w:val="auto"/>
              </w:rPr>
            </w:pPr>
          </w:p>
        </w:tc>
        <w:tc>
          <w:tcPr>
            <w:tcW w:w="17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Level of Valuation</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Investments valued using NAV</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Input</w:t>
            </w: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1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per share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Total</w:t>
            </w:r>
          </w:p>
        </w:tc>
      </w:tr>
      <w:tr>
        <w:trPr>
          <w:trHeight w:val="21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U.S Plans</w:t>
            </w: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 index funds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 index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index fund</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bond index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45"/>
        </w:trPr>
        <w:tc>
          <w:tcPr>
            <w:tcW w:w="4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4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Non-U.S. Plans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investment funds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45"/>
        </w:trPr>
        <w:tc>
          <w:tcPr>
            <w:tcW w:w="4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 fair market value of index funds and pooled investment funds are valued using the net asset value (NAV) unit price provided by the fund administrator. The NAV is based on the value of the underlying assets owned by the fund. The fair value of annuity investments are based on discounted cash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flow techniques using unobservable valuation inputs such as discount rates and actuarial mortality tables.</w:t>
            </w:r>
          </w:p>
        </w:tc>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34"/>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 of Level 3 Pension Assets</w:t>
            </w:r>
          </w:p>
        </w:tc>
        <w:tc>
          <w:tcPr>
            <w:tcW w:w="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rPr>
              <w:t>Annuities</w:t>
            </w:r>
          </w:p>
        </w:tc>
      </w:tr>
      <w:tr>
        <w:trPr>
          <w:trHeight w:val="227"/>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7"/>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7"/>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5"/>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Policies</w:t>
      </w:r>
    </w:p>
    <w:p>
      <w:pPr>
        <w:spacing w:after="0" w:line="115"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Plan fiduciaries of various plans set investment policies and strategies, based on consultation with professional advisors, and oversee investment allocation, which includes selecting investment managers and setting long-term strategic targets.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primary strategic investment objectives are balancing investment risk and return and 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allocation of the plan assets by asset category is as follows:</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7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Plans</w:t>
            </w: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Non-U.S. Plans</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target allocation of the plan assets by asset category is as follows:</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3"/>
        </w:trPr>
        <w:tc>
          <w:tcPr>
            <w:tcW w:w="20" w:type="dxa"/>
            <w:vAlign w:val="bottom"/>
          </w:tcPr>
          <w:p>
            <w:pPr>
              <w:spacing w:after="0"/>
              <w:rPr>
                <w:sz w:val="23"/>
                <w:szCs w:val="23"/>
                <w:color w:val="auto"/>
              </w:rPr>
            </w:pPr>
          </w:p>
        </w:tc>
        <w:tc>
          <w:tcPr>
            <w:tcW w:w="67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67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U.S. Plans</w:t>
            </w: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Non-U.S. Plans</w:t>
            </w:r>
          </w:p>
        </w:tc>
        <w:tc>
          <w:tcPr>
            <w:tcW w:w="20" w:type="dxa"/>
            <w:vAlign w:val="bottom"/>
            <w:tcBorders>
              <w:bottom w:val="single" w:sz="8" w:color="auto"/>
            </w:tcBorders>
          </w:tcPr>
          <w:p>
            <w:pPr>
              <w:spacing w:after="0"/>
              <w:rPr>
                <w:sz w:val="20"/>
                <w:szCs w:val="20"/>
                <w:color w:val="auto"/>
              </w:rPr>
            </w:pPr>
          </w:p>
        </w:tc>
      </w:tr>
      <w:tr>
        <w:trPr>
          <w:trHeight w:val="227"/>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78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10.0%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7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60.0%</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to</w:t>
            </w: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10.0%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7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c>
          <w:tcPr>
            <w:tcW w:w="20" w:type="dxa"/>
            <w:vAlign w:val="bottom"/>
            <w:shd w:val="clear" w:color="auto" w:fill="CCEEFF"/>
          </w:tcPr>
          <w:p>
            <w:pPr>
              <w:spacing w:after="0"/>
              <w:rPr>
                <w:sz w:val="19"/>
                <w:szCs w:val="19"/>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Funding and Cash Flows</w:t>
      </w:r>
    </w:p>
    <w:p>
      <w:pPr>
        <w:spacing w:after="0" w:line="13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expects to make approximately $18.6 in required contributions to its defined benefit pension plans during 2025. The Company targets funding the minimum required contributions but may make additional contributions into the pension plans in 2025, depending upon factors such as how the funded status of those plans change or to reduce the administrative costs of the plan.</w:t>
      </w:r>
    </w:p>
    <w:p>
      <w:pPr>
        <w:spacing w:after="0" w:line="8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At December 31, 2024, the estimated benefit payments, which were used in the calculation of projected benefit obligations, are expected to be paid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40" w:type="dxa"/>
            <w:vAlign w:val="bottom"/>
          </w:tcPr>
          <w:p>
            <w:pPr>
              <w:spacing w:after="0"/>
              <w:rPr>
                <w:sz w:val="21"/>
                <w:szCs w:val="21"/>
                <w:color w:val="auto"/>
              </w:rPr>
            </w:pPr>
          </w:p>
        </w:tc>
        <w:tc>
          <w:tcPr>
            <w:tcW w:w="3300" w:type="dxa"/>
            <w:vAlign w:val="bottom"/>
            <w:tcBorders>
              <w:bottom w:val="single" w:sz="8" w:color="auto"/>
            </w:tcBorders>
            <w:gridSpan w:val="5"/>
          </w:tcPr>
          <w:p>
            <w:pPr>
              <w:jc w:val="right"/>
              <w:ind w:right="83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4"/>
        </w:trPr>
        <w:tc>
          <w:tcPr>
            <w:tcW w:w="79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 Plans</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Non-U.S. Plans</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2030 to 2034</w:t>
            </w:r>
          </w:p>
        </w:tc>
        <w:tc>
          <w:tcPr>
            <w:tcW w:w="120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Retiree Health and Welfare Plan</w:t>
      </w:r>
    </w:p>
    <w:p>
      <w:pPr>
        <w:spacing w:after="0" w:line="131" w:lineRule="exact"/>
        <w:rPr>
          <w:sz w:val="20"/>
          <w:szCs w:val="20"/>
          <w:color w:val="auto"/>
        </w:rPr>
      </w:pPr>
    </w:p>
    <w:p>
      <w:pPr>
        <w:jc w:val="both"/>
        <w:ind w:firstLine="280"/>
        <w:spacing w:after="0" w:line="307" w:lineRule="auto"/>
        <w:rPr>
          <w:sz w:val="20"/>
          <w:szCs w:val="20"/>
          <w:color w:val="auto"/>
        </w:rPr>
      </w:pPr>
      <w:r>
        <w:rPr>
          <w:rFonts w:ascii="Times New Roman" w:cs="Times New Roman" w:eastAsia="Times New Roman" w:hAnsi="Times New Roman"/>
          <w:sz w:val="17"/>
          <w:szCs w:val="17"/>
          <w:color w:val="auto"/>
        </w:rPr>
        <w:t>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Medical Plan</w:t>
      </w:r>
    </w:p>
    <w:p>
      <w:pPr>
        <w:spacing w:after="0" w:line="144" w:lineRule="exact"/>
        <w:rPr>
          <w:sz w:val="20"/>
          <w:szCs w:val="20"/>
          <w:color w:val="auto"/>
        </w:rPr>
      </w:pPr>
    </w:p>
    <w:p>
      <w:pPr>
        <w:jc w:val="both"/>
        <w:ind w:right="20" w:firstLine="280"/>
        <w:spacing w:after="0" w:line="262" w:lineRule="auto"/>
        <w:rPr>
          <w:sz w:val="20"/>
          <w:szCs w:val="20"/>
          <w:color w:val="auto"/>
        </w:rPr>
      </w:pPr>
      <w:r>
        <w:rPr>
          <w:rFonts w:ascii="Times New Roman" w:cs="Times New Roman" w:eastAsia="Times New Roman" w:hAnsi="Times New Roman"/>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34"/>
        </w:trPr>
        <w:tc>
          <w:tcPr>
            <w:tcW w:w="74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82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8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2"/>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medical plan costs</w:t>
            </w:r>
          </w:p>
        </w:tc>
        <w:tc>
          <w:tcPr>
            <w:tcW w:w="820" w:type="dxa"/>
            <w:vAlign w:val="bottom"/>
            <w:tcBorders>
              <w:top w:val="single" w:sz="8" w:color="auto"/>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2024, and 2023, amounts included in Accumulated other comprehensive loss in the Company’s Consolidated Balance Sheets consist of unamortized net income of $0.8 and $0.8, respectively.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summary of the changes in the accumulated post-retirement benefit obligation follows:</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60"/>
        </w:trPr>
        <w:tc>
          <w:tcPr>
            <w:tcW w:w="8500" w:type="dxa"/>
            <w:vAlign w:val="bottom"/>
          </w:tcPr>
          <w:p>
            <w:pPr>
              <w:spacing w:after="0"/>
              <w:rPr>
                <w:sz w:val="22"/>
                <w:szCs w:val="22"/>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Borders>
              <w:bottom w:val="single" w:sz="8" w:color="auto"/>
            </w:tcBorders>
          </w:tcPr>
          <w:p>
            <w:pPr>
              <w:spacing w:after="0"/>
              <w:rPr>
                <w:sz w:val="22"/>
                <w:szCs w:val="22"/>
                <w:color w:val="auto"/>
              </w:rPr>
            </w:pPr>
          </w:p>
        </w:tc>
      </w:tr>
      <w:tr>
        <w:trPr>
          <w:trHeight w:val="234"/>
        </w:trPr>
        <w:tc>
          <w:tcPr>
            <w:tcW w:w="85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r>
      <w:tr>
        <w:trPr>
          <w:trHeight w:val="227"/>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8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loss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r>
      <w:tr>
        <w:trPr>
          <w:trHeight w:val="227"/>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r>
      <w:tr>
        <w:trPr>
          <w:trHeight w:val="24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8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7"/>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94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20"/>
        </w:trPr>
        <w:tc>
          <w:tcPr>
            <w:tcW w:w="8500" w:type="dxa"/>
            <w:vAlign w:val="bottom"/>
          </w:tcPr>
          <w:p>
            <w:pPr>
              <w:spacing w:after="0"/>
              <w:rPr>
                <w:sz w:val="19"/>
                <w:szCs w:val="19"/>
                <w:color w:val="auto"/>
              </w:rPr>
            </w:pPr>
          </w:p>
        </w:tc>
        <w:tc>
          <w:tcPr>
            <w:tcW w:w="8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8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The weighted-average discount rates used in the calculation of the accumulated post-retirement benefit obligation were 5.6% and 5.1% at December 31, 2024, and 2023, respectively. The healthcare cost trend rate was removed due to the expectation of future funding to be at the same level as the previous year’s funding.</w:t>
      </w:r>
    </w:p>
    <w:p>
      <w:pPr>
        <w:spacing w:after="0" w:line="69" w:lineRule="exact"/>
        <w:rPr>
          <w:sz w:val="20"/>
          <w:szCs w:val="20"/>
          <w:color w:val="auto"/>
        </w:rPr>
      </w:pPr>
    </w:p>
    <w:p>
      <w:pPr>
        <w:jc w:val="both"/>
        <w:ind w:firstLine="280"/>
        <w:spacing w:after="0" w:line="268" w:lineRule="auto"/>
        <w:rPr>
          <w:sz w:val="20"/>
          <w:szCs w:val="20"/>
          <w:color w:val="auto"/>
        </w:rPr>
      </w:pPr>
      <w:r>
        <w:rPr>
          <w:rFonts w:ascii="Times New Roman" w:cs="Times New Roman" w:eastAsia="Times New Roman" w:hAnsi="Times New Roman"/>
          <w:sz w:val="18"/>
          <w:szCs w:val="18"/>
          <w:color w:val="auto"/>
        </w:rPr>
        <w:t>The following assumed benefit payments under the Company’s post-retirement benefit plan, which reflect expected future service, as appropriate, and which were used in the calculation of projected benefit obligations, are expected to be paid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7"/>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2"/>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2030 to 2034</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31" w:lineRule="exact"/>
        <w:rPr>
          <w:sz w:val="20"/>
          <w:szCs w:val="20"/>
          <w:color w:val="auto"/>
        </w:rPr>
      </w:pPr>
    </w:p>
    <w:p>
      <w:pPr>
        <w:jc w:val="both"/>
        <w:ind w:firstLine="280"/>
        <w:spacing w:after="0" w:line="251" w:lineRule="auto"/>
        <w:rPr>
          <w:sz w:val="20"/>
          <w:szCs w:val="20"/>
          <w:color w:val="auto"/>
        </w:rPr>
      </w:pPr>
      <w:r>
        <w:rPr>
          <w:rFonts w:ascii="Times New Roman" w:cs="Times New Roman" w:eastAsia="Times New Roman" w:hAnsi="Times New Roman"/>
          <w:sz w:val="18"/>
          <w:szCs w:val="18"/>
          <w:color w:val="auto"/>
        </w:rPr>
        <w:t>The Company has Deferred Compensation Plans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these plans were $132.5 and $107.4 at December 31, 2024, and 2023, respectively. Deferred amounts are the Company’s general unsecured obligations and are subject to claims by the Company’s creditors. The Company’s general assets may be used to fund obligations and pay DCP benefits.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Company’s population of financial assets and liabilities subject to fair value measurements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Cross currency swaps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surrender value of life insurance policies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Cross currency swaps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surrender value of life insurance policies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Fair Value Measurement of Level 3 Liabilities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7"/>
          </w:tcPr>
          <w:p>
            <w:pPr>
              <w:jc w:val="center"/>
              <w:ind w:right="31"/>
              <w:spacing w:after="0"/>
              <w:rPr>
                <w:sz w:val="20"/>
                <w:szCs w:val="20"/>
                <w:color w:val="auto"/>
              </w:rPr>
            </w:pPr>
            <w:r>
              <w:rPr>
                <w:rFonts w:ascii="Times New Roman" w:cs="Times New Roman" w:eastAsia="Times New Roman" w:hAnsi="Times New Roman"/>
                <w:sz w:val="18"/>
                <w:szCs w:val="18"/>
                <w:color w:val="auto"/>
                <w:w w:val="97"/>
              </w:rPr>
              <w:t>Fair Value Measurements at</w:t>
            </w:r>
          </w:p>
        </w:tc>
        <w:tc>
          <w:tcPr>
            <w:tcW w:w="0" w:type="dxa"/>
            <w:vAlign w:val="bottom"/>
          </w:tcPr>
          <w:p>
            <w:pPr>
              <w:spacing w:after="0"/>
              <w:rPr>
                <w:sz w:val="1"/>
                <w:szCs w:val="1"/>
                <w:color w:val="auto"/>
              </w:rPr>
            </w:pPr>
          </w:p>
        </w:tc>
      </w:tr>
      <w:tr>
        <w:trPr>
          <w:trHeight w:val="227"/>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6"/>
          </w:tcPr>
          <w:p>
            <w:pPr>
              <w:jc w:val="center"/>
              <w:ind w:left="491"/>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Consolidated Balance Sheets</w:t>
            </w:r>
          </w:p>
        </w:tc>
        <w:tc>
          <w:tcPr>
            <w:tcW w:w="10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Fair Value at December</w:t>
            </w: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5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0" w:type="dxa"/>
            <w:vAlign w:val="bottom"/>
          </w:tcPr>
          <w:p>
            <w:pPr>
              <w:spacing w:after="0"/>
              <w:rPr>
                <w:sz w:val="1"/>
                <w:szCs w:val="1"/>
                <w:color w:val="auto"/>
              </w:rPr>
            </w:pPr>
          </w:p>
        </w:tc>
      </w:tr>
      <w:tr>
        <w:trPr>
          <w:trHeight w:val="247"/>
        </w:trPr>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Classification</w:t>
            </w:r>
          </w:p>
        </w:tc>
        <w:tc>
          <w:tcPr>
            <w:tcW w:w="100" w:type="dxa"/>
            <w:vAlign w:val="bottom"/>
          </w:tcPr>
          <w:p>
            <w:pPr>
              <w:spacing w:after="0"/>
              <w:rPr>
                <w:sz w:val="21"/>
                <w:szCs w:val="21"/>
                <w:color w:val="auto"/>
              </w:rPr>
            </w:pPr>
          </w:p>
        </w:tc>
        <w:tc>
          <w:tcPr>
            <w:tcW w:w="1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31, 2024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Level 2</w:t>
            </w:r>
          </w:p>
        </w:tc>
        <w:tc>
          <w:tcPr>
            <w:tcW w:w="16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Noncontrolling interest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3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9"/>
              </w:rPr>
              <w:t>Accrued expenses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other/Other liabilities</w:t>
            </w:r>
          </w:p>
        </w:tc>
        <w:tc>
          <w:tcPr>
            <w:tcW w:w="10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3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9"/>
              </w:rPr>
              <w:t>Accrued expenses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47"/>
        </w:trPr>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other/Other liabilities</w:t>
            </w:r>
          </w:p>
        </w:tc>
        <w:tc>
          <w:tcPr>
            <w:tcW w:w="10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7"/>
          </w:tcPr>
          <w:p>
            <w:pPr>
              <w:jc w:val="center"/>
              <w:ind w:right="31"/>
              <w:spacing w:after="0"/>
              <w:rPr>
                <w:sz w:val="20"/>
                <w:szCs w:val="20"/>
                <w:color w:val="auto"/>
              </w:rPr>
            </w:pPr>
            <w:r>
              <w:rPr>
                <w:rFonts w:ascii="Times New Roman" w:cs="Times New Roman" w:eastAsia="Times New Roman" w:hAnsi="Times New Roman"/>
                <w:sz w:val="18"/>
                <w:szCs w:val="18"/>
                <w:color w:val="auto"/>
                <w:w w:val="97"/>
              </w:rPr>
              <w:t>Fair Value Measurements at</w:t>
            </w:r>
          </w:p>
        </w:tc>
        <w:tc>
          <w:tcPr>
            <w:tcW w:w="0" w:type="dxa"/>
            <w:vAlign w:val="bottom"/>
          </w:tcPr>
          <w:p>
            <w:pPr>
              <w:spacing w:after="0"/>
              <w:rPr>
                <w:sz w:val="1"/>
                <w:szCs w:val="1"/>
                <w:color w:val="auto"/>
              </w:rPr>
            </w:pPr>
          </w:p>
        </w:tc>
      </w:tr>
      <w:tr>
        <w:trPr>
          <w:trHeight w:val="227"/>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6"/>
          </w:tcPr>
          <w:p>
            <w:pPr>
              <w:jc w:val="center"/>
              <w:ind w:left="491"/>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Consolidated Balance Sheets</w:t>
            </w:r>
          </w:p>
        </w:tc>
        <w:tc>
          <w:tcPr>
            <w:tcW w:w="10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Fair Value at December</w:t>
            </w: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5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0" w:type="dxa"/>
            <w:vAlign w:val="bottom"/>
          </w:tcPr>
          <w:p>
            <w:pPr>
              <w:spacing w:after="0"/>
              <w:rPr>
                <w:sz w:val="1"/>
                <w:szCs w:val="1"/>
                <w:color w:val="auto"/>
              </w:rPr>
            </w:pPr>
          </w:p>
        </w:tc>
      </w:tr>
      <w:tr>
        <w:trPr>
          <w:trHeight w:val="247"/>
        </w:trPr>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Classification</w:t>
            </w:r>
          </w:p>
        </w:tc>
        <w:tc>
          <w:tcPr>
            <w:tcW w:w="100" w:type="dxa"/>
            <w:vAlign w:val="bottom"/>
          </w:tcPr>
          <w:p>
            <w:pPr>
              <w:spacing w:after="0"/>
              <w:rPr>
                <w:sz w:val="21"/>
                <w:szCs w:val="21"/>
                <w:color w:val="auto"/>
              </w:rPr>
            </w:pPr>
          </w:p>
        </w:tc>
        <w:tc>
          <w:tcPr>
            <w:tcW w:w="1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31, 2023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Level 2</w:t>
            </w:r>
          </w:p>
        </w:tc>
        <w:tc>
          <w:tcPr>
            <w:tcW w:w="16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Noncontrolling interest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230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Accrued expenses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other/Other liabilities</w:t>
            </w:r>
          </w:p>
        </w:tc>
        <w:tc>
          <w:tcPr>
            <w:tcW w:w="10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230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Accrued expenses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139"/>
        </w:trPr>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other/Other liabilities</w:t>
            </w:r>
          </w:p>
        </w:tc>
        <w:tc>
          <w:tcPr>
            <w:tcW w:w="10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3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-3185160</wp:posOffset>
            </wp:positionV>
            <wp:extent cx="7134225" cy="152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-2770505</wp:posOffset>
            </wp:positionV>
            <wp:extent cx="7134225" cy="144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-2482215</wp:posOffset>
            </wp:positionV>
            <wp:extent cx="7134225" cy="144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-2193925</wp:posOffset>
            </wp:positionV>
            <wp:extent cx="7134225" cy="262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134225" cy="262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-1253490</wp:posOffset>
            </wp:positionV>
            <wp:extent cx="7134225" cy="152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-838835</wp:posOffset>
            </wp:positionV>
            <wp:extent cx="7134225" cy="144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-550545</wp:posOffset>
            </wp:positionV>
            <wp:extent cx="7134225" cy="144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-262255</wp:posOffset>
            </wp:positionV>
            <wp:extent cx="7134225" cy="262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134225" cy="262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4" w:lineRule="exact"/>
        <w:rPr>
          <w:sz w:val="20"/>
          <w:szCs w:val="20"/>
          <w:color w:val="auto"/>
        </w:rPr>
      </w:pPr>
    </w:p>
    <w:p>
      <w:pPr>
        <w:sectPr>
          <w:pgSz w:w="11900" w:h="16838" w:orient="portrait"/>
          <w:cols w:equalWidth="0" w:num="2">
            <w:col w:w="3400" w:space="720"/>
            <w:col w:w="71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60" w:type="dxa"/>
            <w:vAlign w:val="bottom"/>
            <w:tcBorders>
              <w:top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rPr>
              <w:t>77.4</w:t>
            </w:r>
          </w:p>
        </w:tc>
      </w:tr>
      <w:tr>
        <w:trPr>
          <w:trHeight w:val="227"/>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adjustments</w:t>
            </w:r>
          </w:p>
        </w:tc>
        <w:tc>
          <w:tcPr>
            <w:tcW w:w="1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871"/>
              <w:spacing w:after="0"/>
              <w:rPr>
                <w:sz w:val="20"/>
                <w:szCs w:val="20"/>
                <w:color w:val="auto"/>
              </w:rPr>
            </w:pPr>
            <w:r>
              <w:rPr>
                <w:rFonts w:ascii="Times New Roman" w:cs="Times New Roman" w:eastAsia="Times New Roman" w:hAnsi="Times New Roman"/>
                <w:sz w:val="18"/>
                <w:szCs w:val="18"/>
                <w:color w:val="auto"/>
                <w:w w:val="96"/>
              </w:rPr>
              <w:t>(11.3)</w:t>
            </w:r>
          </w:p>
        </w:tc>
      </w:tr>
      <w:tr>
        <w:trPr>
          <w:trHeight w:val="22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rPr>
              <w:t>66.1</w:t>
            </w:r>
          </w:p>
        </w:tc>
      </w:tr>
      <w:tr>
        <w:trPr>
          <w:trHeight w:val="227"/>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adjustments</w:t>
            </w:r>
          </w:p>
        </w:tc>
        <w:tc>
          <w:tcPr>
            <w:tcW w:w="1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851"/>
              <w:spacing w:after="0"/>
              <w:rPr>
                <w:sz w:val="20"/>
                <w:szCs w:val="20"/>
                <w:color w:val="auto"/>
              </w:rPr>
            </w:pPr>
            <w:r>
              <w:rPr>
                <w:rFonts w:ascii="Times New Roman" w:cs="Times New Roman" w:eastAsia="Times New Roman" w:hAnsi="Times New Roman"/>
                <w:sz w:val="18"/>
                <w:szCs w:val="18"/>
                <w:color w:val="auto"/>
              </w:rPr>
              <w:t>(55.3)</w:t>
            </w:r>
          </w:p>
        </w:tc>
      </w:tr>
      <w:tr>
        <w:trPr>
          <w:trHeight w:val="245"/>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Consolidated Balance Sheets. The noncontrolling interest put is valued at its contractually determined value, which approximates fair value. During the year ended December 31, 2024, the carrying value of the noncontrolling interest put increased by $0.5 for foreign currency translation.</w:t>
      </w:r>
    </w:p>
    <w:p>
      <w:pPr>
        <w:spacing w:after="0" w:line="8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values of derivative financial instruments have been determined based on market value equivalents at the balance sheet date, taking into account the current interest rate environment and therefore were classified as Level 2 measurements in the fair value hierarchy.</w:t>
      </w:r>
    </w:p>
    <w:p>
      <w:pPr>
        <w:spacing w:after="0" w:line="83" w:lineRule="exact"/>
        <w:rPr>
          <w:sz w:val="20"/>
          <w:szCs w:val="20"/>
          <w:color w:val="auto"/>
        </w:rPr>
      </w:pPr>
    </w:p>
    <w:p>
      <w:pPr>
        <w:jc w:val="both"/>
        <w:ind w:firstLine="280"/>
        <w:spacing w:after="0" w:line="252"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106"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Although recorded at amortized cost on the Company’s Consolidated Balance Sheets, the fair market value of the Company’s senior notes was $5,762.6 and $4,850.4 at December 31, 2024, and 2023, respectively. The Company’s senior notes are considered Level 2 instruments, as the fair market values of these instruments are based on observable market pricing.</w:t>
      </w:r>
    </w:p>
    <w:p>
      <w:pPr>
        <w:spacing w:after="0" w:line="123" w:lineRule="exact"/>
        <w:rPr>
          <w:sz w:val="20"/>
          <w:szCs w:val="20"/>
          <w:color w:val="auto"/>
        </w:rPr>
      </w:pPr>
    </w:p>
    <w:p>
      <w:pPr>
        <w:ind w:right="6000" w:firstLine="7"/>
        <w:spacing w:after="0" w:line="389" w:lineRule="auto"/>
        <w:tabs>
          <w:tab w:leader="none" w:pos="35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 Interest Rate Swap</w:t>
      </w: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fixed-to-variable interest rate swap agreements for its 2.70% senior notes due 2031 with an aggregate notional amount of $500.0 and variable interest rates based on three-month Secured Overnight Financing Rate (SOFR), which changed from London Interbank Offered Rate (LIBOR) to SOFR during 2023, plus 1.0706%. These agreements were designated as hedges against changes in the fair value of a portion of the Company’s long-term debt.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Swaps</w:t>
      </w:r>
    </w:p>
    <w:p>
      <w:pPr>
        <w:spacing w:after="0" w:line="131"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The initial cross-currency swap matures in 2025 and the cross currency swap entered into in 2022 matures in 2024. These instruments are designated as a hedge against the impact of foreign exchange movements on its net investment in a Swiss subsidiary.</w:t>
      </w:r>
    </w:p>
    <w:p>
      <w:pPr>
        <w:spacing w:after="0" w:line="9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During the first quarter of 2024, the Company terminated its 2024 and 2025 USD to Swiss Franc cross currency swaps and entered into two new swaps, each with a notional value of $300.0 and maturity dates of 2031 and 2034, respectively.</w:t>
      </w:r>
    </w:p>
    <w:p>
      <w:pPr>
        <w:spacing w:after="0" w:line="8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During the third quarter of 2024, the Company entered into five new USD to Swiss Franc cross currency swaps, with an aggregate notional value of $600.0, of which, $300.0 matures in 2029 and $300.0 matures in 2034.</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table below presents the fair value of derivatives and the balance sheet classification of those instruments:</w:t>
      </w:r>
    </w:p>
    <w:p>
      <w:pPr>
        <w:sectPr>
          <w:pgSz w:w="11900" w:h="16838" w:orient="portrait"/>
          <w:cols w:equalWidth="0" w:num="1">
            <w:col w:w="11240"/>
          </w:cols>
          <w:pgMar w:left="320" w:top="121" w:right="339" w:bottom="1440" w:gutter="0" w:footer="0" w:header="0"/>
        </w:sectPr>
      </w:pPr>
    </w:p>
    <w:p>
      <w:pPr>
        <w:spacing w:after="0" w:line="136"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18415</wp:posOffset>
            </wp:positionV>
            <wp:extent cx="16351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1635125" cy="17145"/>
                    </a:xfrm>
                    <a:prstGeom prst="rect">
                      <a:avLst/>
                    </a:prstGeom>
                    <a:noFill/>
                  </pic:spPr>
                </pic:pic>
              </a:graphicData>
            </a:graphic>
          </wp:anchor>
        </w:drawing>
      </w:r>
    </w:p>
    <w:p>
      <w:pPr>
        <w:spacing w:after="0" w:line="31"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7"/>
          <w:szCs w:val="17"/>
          <w:color w:val="auto"/>
        </w:rPr>
        <w:t>Fair Value of Derivative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18415</wp:posOffset>
            </wp:positionV>
            <wp:extent cx="15506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1550670" cy="17145"/>
                    </a:xfrm>
                    <a:prstGeom prst="rect">
                      <a:avLst/>
                    </a:prstGeom>
                    <a:noFill/>
                  </pic:spPr>
                </pic:pic>
              </a:graphicData>
            </a:graphic>
          </wp:anchor>
        </w:drawing>
      </w:r>
    </w:p>
    <w:p>
      <w:pPr>
        <w:spacing w:after="0" w:line="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Fair Value of Derivative</w:t>
      </w:r>
    </w:p>
    <w:p>
      <w:pPr>
        <w:spacing w:after="0" w:line="36" w:lineRule="exact"/>
        <w:rPr>
          <w:sz w:val="20"/>
          <w:szCs w:val="20"/>
          <w:color w:val="auto"/>
        </w:rPr>
      </w:pPr>
    </w:p>
    <w:p>
      <w:pPr>
        <w:sectPr>
          <w:pgSz w:w="11900" w:h="16838" w:orient="portrait"/>
          <w:cols w:equalWidth="0" w:num="2">
            <w:col w:w="8440" w:space="720"/>
            <w:col w:w="20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00" w:type="dxa"/>
            <w:vAlign w:val="bottom"/>
          </w:tcPr>
          <w:p>
            <w:pPr>
              <w:spacing w:after="0"/>
              <w:rPr>
                <w:sz w:val="14"/>
                <w:szCs w:val="14"/>
                <w:color w:val="auto"/>
              </w:rPr>
            </w:pPr>
          </w:p>
        </w:tc>
        <w:tc>
          <w:tcPr>
            <w:tcW w:w="41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6"/>
                <w:szCs w:val="16"/>
                <w:color w:val="auto"/>
              </w:rPr>
              <w:t>Consolidated Balance Sheets Caption</w:t>
            </w: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Asset</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Liability</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36"/>
              <w:spacing w:after="0" w:line="167" w:lineRule="exact"/>
              <w:rPr>
                <w:sz w:val="20"/>
                <w:szCs w:val="20"/>
                <w:color w:val="auto"/>
              </w:rPr>
            </w:pPr>
            <w:r>
              <w:rPr>
                <w:rFonts w:ascii="Times New Roman" w:cs="Times New Roman" w:eastAsia="Times New Roman" w:hAnsi="Times New Roman"/>
                <w:sz w:val="16"/>
                <w:szCs w:val="16"/>
                <w:color w:val="auto"/>
              </w:rPr>
              <w:t>U.S. Dollar</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Asset</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840" w:type="dxa"/>
            <w:vAlign w:val="bottom"/>
            <w:tcBorders>
              <w:top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U.S. Dollar</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4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Notional</w:t>
            </w:r>
          </w:p>
        </w:tc>
        <w:tc>
          <w:tcPr>
            <w:tcW w:w="1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auto"/>
                <w:w w:val="99"/>
              </w:rPr>
              <w:t>Notional</w:t>
            </w:r>
          </w:p>
        </w:tc>
        <w:tc>
          <w:tcPr>
            <w:tcW w:w="0" w:type="dxa"/>
            <w:vAlign w:val="bottom"/>
          </w:tcPr>
          <w:p>
            <w:pPr>
              <w:spacing w:after="0"/>
              <w:rPr>
                <w:sz w:val="1"/>
                <w:szCs w:val="1"/>
                <w:color w:val="auto"/>
              </w:rPr>
            </w:pPr>
          </w:p>
        </w:tc>
      </w:tr>
      <w:tr>
        <w:trPr>
          <w:trHeight w:val="227"/>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2"/>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240"/>
        <w:spacing w:after="0" w:line="270" w:lineRule="auto"/>
        <w:rPr>
          <w:sz w:val="20"/>
          <w:szCs w:val="20"/>
          <w:color w:val="auto"/>
        </w:rPr>
      </w:pPr>
      <w:r>
        <w:rPr>
          <w:rFonts w:ascii="Times New Roman" w:cs="Times New Roman" w:eastAsia="Times New Roman" w:hAnsi="Times New Roman"/>
          <w:sz w:val="18"/>
          <w:szCs w:val="18"/>
          <w:color w:val="auto"/>
        </w:rPr>
        <w:t>The table below provides information regarding the location and amount of pretax (gains) losses of derivatives designated in fair value hedging relationships:</w:t>
      </w:r>
    </w:p>
    <w:p>
      <w:pPr>
        <w:ind w:left="7480"/>
        <w:spacing w:after="0" w:line="225" w:lineRule="auto"/>
        <w:rPr>
          <w:sz w:val="20"/>
          <w:szCs w:val="20"/>
          <w:color w:val="auto"/>
        </w:rPr>
      </w:pPr>
      <w:r>
        <w:rPr>
          <w:rFonts w:ascii="Times New Roman" w:cs="Times New Roman" w:eastAsia="Times New Roman" w:hAnsi="Times New Roman"/>
          <w:sz w:val="18"/>
          <w:szCs w:val="18"/>
          <w:color w:val="auto"/>
        </w:rPr>
        <w:t>Amounts reclassified to the Consolidated Statement</w:t>
      </w:r>
    </w:p>
    <w:p>
      <w:pPr>
        <w:spacing w:after="0" w:line="1" w:lineRule="exact"/>
        <w:rPr>
          <w:sz w:val="20"/>
          <w:szCs w:val="20"/>
          <w:color w:val="auto"/>
        </w:rPr>
      </w:pPr>
    </w:p>
    <w:p>
      <w:pPr>
        <w:ind w:left="3620"/>
        <w:spacing w:after="0"/>
        <w:tabs>
          <w:tab w:leader="none" w:pos="8820" w:val="left"/>
        </w:tabs>
        <w:rPr>
          <w:sz w:val="20"/>
          <w:szCs w:val="20"/>
          <w:color w:val="auto"/>
        </w:rPr>
      </w:pPr>
      <w:r>
        <w:rPr>
          <w:rFonts w:ascii="Times New Roman" w:cs="Times New Roman" w:eastAsia="Times New Roman" w:hAnsi="Times New Roman"/>
          <w:sz w:val="18"/>
          <w:szCs w:val="18"/>
          <w:color w:val="auto"/>
        </w:rPr>
        <w:t>Amounts included in other comprehensive income</w:t>
      </w:r>
      <w:r>
        <w:rPr>
          <w:sz w:val="20"/>
          <w:szCs w:val="20"/>
          <w:color w:val="auto"/>
        </w:rPr>
        <w:tab/>
      </w:r>
      <w:r>
        <w:rPr>
          <w:rFonts w:ascii="Times New Roman" w:cs="Times New Roman" w:eastAsia="Times New Roman" w:hAnsi="Times New Roman"/>
          <w:sz w:val="17"/>
          <w:szCs w:val="17"/>
          <w:color w:val="auto"/>
        </w:rPr>
        <w:t>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11430</wp:posOffset>
            </wp:positionV>
            <wp:extent cx="49142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49142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36"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18415</wp:posOffset>
            </wp:positionV>
            <wp:extent cx="2423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2423160" cy="17145"/>
                    </a:xfrm>
                    <a:prstGeom prst="rect">
                      <a:avLst/>
                    </a:prstGeom>
                    <a:noFill/>
                  </pic:spPr>
                </pic:pic>
              </a:graphicData>
            </a:graphic>
          </wp:anchor>
        </w:drawing>
      </w:r>
    </w:p>
    <w:p>
      <w:pPr>
        <w:spacing w:after="0" w:line="27" w:lineRule="exact"/>
        <w:rPr>
          <w:sz w:val="20"/>
          <w:szCs w:val="20"/>
          <w:color w:val="auto"/>
        </w:rPr>
      </w:pPr>
    </w:p>
    <w:p>
      <w:pPr>
        <w:ind w:left="3920"/>
        <w:spacing w:after="0"/>
        <w:tabs>
          <w:tab w:leader="none" w:pos="5220" w:val="left"/>
          <w:tab w:leader="none" w:pos="65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134225" cy="161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18415</wp:posOffset>
            </wp:positionV>
            <wp:extent cx="2423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2423160" cy="17145"/>
                    </a:xfrm>
                    <a:prstGeom prst="rect">
                      <a:avLst/>
                    </a:prstGeom>
                    <a:noFill/>
                  </pic:spPr>
                </pic:pic>
              </a:graphicData>
            </a:graphic>
          </wp:anchor>
        </w:drawing>
      </w:r>
    </w:p>
    <w:p>
      <w:pPr>
        <w:spacing w:after="0" w:line="27" w:lineRule="exact"/>
        <w:rPr>
          <w:sz w:val="20"/>
          <w:szCs w:val="20"/>
          <w:color w:val="auto"/>
        </w:rPr>
      </w:pPr>
    </w:p>
    <w:p>
      <w:pPr>
        <w:spacing w:after="0"/>
        <w:tabs>
          <w:tab w:leader="none" w:pos="1300" w:val="left"/>
          <w:tab w:leader="none" w:pos="26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37" w:lineRule="exact"/>
        <w:rPr>
          <w:sz w:val="20"/>
          <w:szCs w:val="20"/>
          <w:color w:val="auto"/>
        </w:rPr>
      </w:pPr>
    </w:p>
    <w:p>
      <w:pPr>
        <w:sectPr>
          <w:pgSz w:w="11900" w:h="16838" w:orient="portrait"/>
          <w:cols w:equalWidth="0" w:num="2">
            <w:col w:w="7120" w:space="720"/>
            <w:col w:w="3400"/>
          </w:cols>
          <w:pgMar w:left="320" w:top="121" w:right="339" w:bottom="1440" w:gutter="0" w:footer="0" w:header="0"/>
          <w:type w:val="continuous"/>
        </w:sectPr>
      </w:pPr>
    </w:p>
    <w:p>
      <w:pPr>
        <w:ind w:left="20"/>
        <w:spacing w:after="0"/>
        <w:tabs>
          <w:tab w:leader="none" w:pos="3500" w:val="left"/>
          <w:tab w:leader="none" w:pos="4220" w:val="left"/>
          <w:tab w:leader="none" w:pos="4800" w:val="left"/>
          <w:tab w:leader="none" w:pos="5540" w:val="left"/>
          <w:tab w:leader="none" w:pos="6120" w:val="left"/>
          <w:tab w:leader="none" w:pos="6840" w:val="left"/>
          <w:tab w:leader="none" w:pos="7420" w:val="left"/>
          <w:tab w:leader="none" w:pos="8360" w:val="left"/>
          <w:tab w:leader="none" w:pos="8740" w:val="left"/>
          <w:tab w:leader="none" w:pos="9660" w:val="left"/>
          <w:tab w:leader="none" w:pos="10040" w:val="left"/>
          <w:tab w:leader="none" w:pos="10920" w:val="left"/>
        </w:tabs>
        <w:rPr>
          <w:sz w:val="20"/>
          <w:szCs w:val="20"/>
          <w:color w:val="auto"/>
        </w:rPr>
      </w:pPr>
      <w:r>
        <w:rPr>
          <w:rFonts w:ascii="Times New Roman" w:cs="Times New Roman" w:eastAsia="Times New Roman" w:hAnsi="Times New Roman"/>
          <w:sz w:val="18"/>
          <w:szCs w:val="18"/>
          <w:color w:val="auto"/>
        </w:rPr>
        <w:t>Cross currency swaps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(33.7)</w:t>
        <w:tab/>
        <w:t>$</w:t>
      </w:r>
      <w:r>
        <w:rPr>
          <w:sz w:val="20"/>
          <w:szCs w:val="20"/>
          <w:color w:val="auto"/>
        </w:rPr>
        <w:tab/>
      </w:r>
      <w:r>
        <w:rPr>
          <w:rFonts w:ascii="Times New Roman" w:cs="Times New Roman" w:eastAsia="Times New Roman" w:hAnsi="Times New Roman"/>
          <w:sz w:val="18"/>
          <w:szCs w:val="18"/>
          <w:color w:val="auto"/>
        </w:rPr>
        <w:t>(63.3)</w:t>
        <w:tab/>
        <w:t>$</w:t>
      </w:r>
      <w:r>
        <w:rPr>
          <w:sz w:val="20"/>
          <w:szCs w:val="20"/>
          <w:color w:val="auto"/>
        </w:rPr>
        <w:tab/>
      </w:r>
      <w:r>
        <w:rPr>
          <w:rFonts w:ascii="Times New Roman" w:cs="Times New Roman" w:eastAsia="Times New Roman" w:hAnsi="Times New Roman"/>
          <w:sz w:val="18"/>
          <w:szCs w:val="18"/>
          <w:color w:val="auto"/>
        </w:rPr>
        <w:t>(12.9)</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SUPPLEMENTAL CASH FLOW INFORMATION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7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34"/>
        </w:trPr>
        <w:tc>
          <w:tcPr>
            <w:tcW w:w="7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27"/>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2"/>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(22.5)</w:t>
            </w:r>
          </w:p>
        </w:tc>
        <w:tc>
          <w:tcPr>
            <w:tcW w:w="12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4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years ended December 31, 2024, 2023, and 2022.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Company’s segment performance measure excludes the amortization of intangibles and other assets, restructuring and other charges, goodwill and other asset impairments, and certain corporate charges for items such as transaction costs, COVID-19 costs, and other special items. This aligns with how the CODM now evaluates segment performance and allocates resources. Other operating expenses are comprised primarily of rent, maintenance, consulting sendouts, utilities, travel and entertainment, and other segment expenses, including shipping costs for Dx. Segment asset information is not presented because it is not used by the CODM.</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9"/>
              </w:rPr>
              <w:t>Intercompany</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8"/>
                <w:szCs w:val="18"/>
                <w:color w:val="auto"/>
              </w:rPr>
              <w:t>eliminations and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140" w:type="dxa"/>
            <w:vAlign w:val="bottom"/>
          </w:tcPr>
          <w:p>
            <w:pPr>
              <w:spacing w:after="0"/>
              <w:rPr>
                <w:sz w:val="20"/>
                <w:szCs w:val="20"/>
                <w:color w:val="auto"/>
              </w:rPr>
            </w:pPr>
          </w:p>
        </w:tc>
        <w:tc>
          <w:tcPr>
            <w:tcW w:w="12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other</w:t>
            </w:r>
          </w:p>
        </w:tc>
        <w:tc>
          <w:tcPr>
            <w:tcW w:w="300" w:type="dxa"/>
            <w:vAlign w:val="bottom"/>
          </w:tcPr>
          <w:p>
            <w:pPr>
              <w:spacing w:after="0"/>
              <w:rPr>
                <w:sz w:val="20"/>
                <w:szCs w:val="20"/>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LHI</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13,008.9</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2,065.2</w:t>
            </w: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w w:val="97"/>
              </w:rPr>
              <w:t>Intercompany</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eliminations and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Dx</w:t>
            </w:r>
          </w:p>
        </w:tc>
        <w:tc>
          <w:tcPr>
            <w:tcW w:w="16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BLS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other</w:t>
            </w: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LHI</w:t>
            </w:r>
          </w:p>
        </w:tc>
        <w:tc>
          <w:tcPr>
            <w:tcW w:w="0" w:type="dxa"/>
            <w:vAlign w:val="bottom"/>
          </w:tcPr>
          <w:p>
            <w:pPr>
              <w:spacing w:after="0"/>
              <w:rPr>
                <w:sz w:val="1"/>
                <w:szCs w:val="1"/>
                <w:color w:val="auto"/>
              </w:rPr>
            </w:pPr>
          </w:p>
        </w:tc>
      </w:tr>
      <w:tr>
        <w:trPr>
          <w:trHeight w:val="227"/>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0" w:type="dxa"/>
            <w:vAlign w:val="bottom"/>
          </w:tcPr>
          <w:p>
            <w:pPr>
              <w:spacing w:after="0"/>
              <w:rPr>
                <w:sz w:val="1"/>
                <w:szCs w:val="1"/>
                <w:color w:val="auto"/>
              </w:rPr>
            </w:pPr>
          </w:p>
        </w:tc>
      </w:tr>
      <w:tr>
        <w:trPr>
          <w:trHeight w:val="213"/>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0" w:type="dxa"/>
            <w:vAlign w:val="bottom"/>
          </w:tcPr>
          <w:p>
            <w:pPr>
              <w:spacing w:after="0"/>
              <w:rPr>
                <w:sz w:val="1"/>
                <w:szCs w:val="1"/>
                <w:color w:val="auto"/>
              </w:rPr>
            </w:pPr>
          </w:p>
        </w:tc>
      </w:tr>
      <w:tr>
        <w:trPr>
          <w:trHeight w:val="22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2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7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color w:val="auto"/>
                <w:w w:val="97"/>
              </w:rPr>
              <w:t>Intercompany</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3"/>
          </w:tcPr>
          <w:p>
            <w:pPr>
              <w:jc w:val="center"/>
              <w:ind w:right="80"/>
              <w:spacing w:after="0" w:line="174" w:lineRule="exact"/>
              <w:rPr>
                <w:sz w:val="20"/>
                <w:szCs w:val="20"/>
                <w:color w:val="auto"/>
              </w:rPr>
            </w:pPr>
            <w:r>
              <w:rPr>
                <w:rFonts w:ascii="Times New Roman" w:cs="Times New Roman" w:eastAsia="Times New Roman" w:hAnsi="Times New Roman"/>
                <w:sz w:val="18"/>
                <w:szCs w:val="18"/>
                <w:color w:val="auto"/>
                <w:w w:val="98"/>
              </w:rPr>
              <w:t>eliminations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160" w:type="dxa"/>
            <w:vAlign w:val="bottom"/>
          </w:tcPr>
          <w:p>
            <w:pPr>
              <w:spacing w:after="0"/>
              <w:rPr>
                <w:sz w:val="21"/>
                <w:szCs w:val="21"/>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BLS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other</w:t>
            </w:r>
          </w:p>
        </w:tc>
        <w:tc>
          <w:tcPr>
            <w:tcW w:w="320" w:type="dxa"/>
            <w:vAlign w:val="bottom"/>
          </w:tcPr>
          <w:p>
            <w:pPr>
              <w:spacing w:after="0"/>
              <w:rPr>
                <w:sz w:val="21"/>
                <w:szCs w:val="21"/>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LHI</w:t>
            </w:r>
          </w:p>
        </w:tc>
      </w:tr>
      <w:tr>
        <w:trPr>
          <w:trHeight w:val="227"/>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11,863.9</w:t>
            </w:r>
          </w:p>
        </w:tc>
      </w:tr>
      <w:tr>
        <w:trPr>
          <w:trHeight w:val="213"/>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2,414.6</w:t>
            </w: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1,436.5</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income,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w:t>
            </w:r>
          </w:p>
        </w:tc>
      </w:tr>
      <w:tr>
        <w:trPr>
          <w:trHeight w:val="20"/>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shares in millions, except per share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67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122.6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depreciation</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387.1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Geographic distribution of Property, plant and equipment, net:</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6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8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2,418.2</w:t>
            </w: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2,911.8</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AIRCRAFT TIME SHARING AGREEMENT</w:t>
      </w:r>
    </w:p>
    <w:p>
      <w:pPr>
        <w:spacing w:after="0" w:line="243"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1"/>
          <w:szCs w:val="21"/>
          <w:color w:val="auto"/>
        </w:rPr>
        <w:t>This Aircraft Time Sharing Agreement (the "Agreement") is made and entered into as of this 18</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day of November 2024, by and between Laboratory Corporation of America Holdings (“Company”), and Adam H. Schechter, an individual (“Lessee”), who together are sometimes also referred to herein individually as a "Party" or collectively as the "Parties."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WITNESSETH:</w:t>
      </w:r>
    </w:p>
    <w:p>
      <w:pPr>
        <w:spacing w:after="0" w:line="24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1"/>
          <w:szCs w:val="21"/>
          <w:color w:val="auto"/>
        </w:rPr>
        <w:t>WHEREAS, Company possesses the aircraft or is the authorized fractional owner and operator of aircraft pursuant to a Fractional Program Agreement between the Company and NetJets Sales, Inc., NetJets Aviation, Inc. and NetJets Services, Inc., as described in Section 22 of this Agreement at the time of any flight conducted hereunder (the “Aircraft”);</w:t>
      </w:r>
    </w:p>
    <w:p>
      <w:pPr>
        <w:spacing w:after="0" w:line="193"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1"/>
          <w:szCs w:val="21"/>
          <w:color w:val="auto"/>
        </w:rPr>
        <w:t>WHEREAS, Company provides certain flight allowances for Lessee’s personal and commuting use of the Aircraft (each a “Flight Allowance”);</w:t>
      </w:r>
    </w:p>
    <w:p>
      <w:pPr>
        <w:spacing w:after="0" w:line="16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1"/>
          <w:szCs w:val="21"/>
          <w:color w:val="auto"/>
        </w:rPr>
        <w:t>WHEREAS, Company is willing to lease from time-to-time the Aircraft, with a fully qualified flight crew, to Lessee for Lessee’s use on a time sharing basis in accordance with Section 91.501 of the FAA's Federal Aviation Regulations, 14 C.F.R. Parts 1-199 as amended (the "FARs");</w:t>
      </w:r>
    </w:p>
    <w:p>
      <w:pPr>
        <w:spacing w:after="0" w:line="188"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1"/>
          <w:szCs w:val="21"/>
          <w:color w:val="auto"/>
        </w:rPr>
        <w:t>WHEREAS, Lessee agrees to reimburse Company for personal and commuting use of the Aircraft that exceeds a Flight Allowances, as permitted under the FAR and pursuant to the terms of this Agreement;</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in consideration of the mutual covenants herein set forth, the Parties agree as follows:</w:t>
      </w:r>
    </w:p>
    <w:p>
      <w:pPr>
        <w:spacing w:after="0" w:line="233" w:lineRule="exact"/>
        <w:rPr>
          <w:sz w:val="20"/>
          <w:szCs w:val="20"/>
          <w:color w:val="auto"/>
        </w:rPr>
      </w:pPr>
    </w:p>
    <w:p>
      <w:pPr>
        <w:jc w:val="both"/>
        <w:ind w:firstLine="640"/>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b w:val="1"/>
          <w:bCs w:val="1"/>
          <w:i w:val="1"/>
          <w:iCs w:val="1"/>
          <w:color w:val="auto"/>
        </w:rPr>
        <w:t>Provision of Aircraft.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agrees to lease the Aircraft to Lessee on a time sharing basis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provisions of Sections 91.501(b)(6), 91.501(c)(1) and 91.501(d) of the FARs and solely at Company's discretion, including, without limitation, Company's determination of Aircraft availability according to Section 5 hereof, for the period commencing on the date of execution hereof, and shall continue until terminated by either Party on written notice to the other Party, such termination to become effective thirty (30) days from the date of the notice; provider, however, that this Agreement may be terminated by Company on such shorter notice as may be required for Company to comply with applicable law, regulations, or insurance requirements. This Agreement also shall terminate automatically on the date Lessee ceases to serve as an executive of Labcorp Holdings Inc. Notwithstanding the foregoing, any provisions directly or indirectly related to Lessee’s payment obligations for flights completed prior to the date of termination and the limitation of liability and indemnification provisions in Section 9 shall survive termination of this Agreement.</w:t>
      </w:r>
    </w:p>
    <w:p>
      <w:pPr>
        <w:spacing w:after="0" w:line="20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b w:val="1"/>
          <w:bCs w:val="1"/>
          <w:i w:val="1"/>
          <w:iCs w:val="1"/>
          <w:color w:val="auto"/>
        </w:rPr>
        <w:t>Reimbursement of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Lessee exceeds the amount of the Flight Allowance for either (a) commuting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use purposes; or (b) personal use purposes, then Lessee shall pay the Company for each flight conducted under this Agreement the actual expenses of each specific flight that exceeds the applicable Flight Allowance, including the actual expense of any</w:t>
      </w:r>
    </w:p>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1"/>
          <w:szCs w:val="21"/>
          <w:color w:val="auto"/>
        </w:rPr>
        <w:t xml:space="preserve">“deadhead” flights made for Lessee to reposition the Aircraft, as permitted by FAR 91.501(d),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an amount not to exceed the sum of the expenses set forth in subparagraphs (a)-(j) below for each such flight:</w:t>
      </w:r>
    </w:p>
    <w:p>
      <w:pPr>
        <w:spacing w:after="0" w:line="163" w:lineRule="exact"/>
        <w:rPr>
          <w:sz w:val="20"/>
          <w:szCs w:val="20"/>
          <w:color w:val="auto"/>
        </w:rPr>
      </w:pPr>
    </w:p>
    <w:p>
      <w:pPr>
        <w:ind w:left="640" w:hanging="313"/>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Fuel, oil, lubricants, and other additives;</w:t>
      </w:r>
    </w:p>
    <w:p>
      <w:pPr>
        <w:spacing w:after="0" w:line="22" w:lineRule="exact"/>
        <w:rPr>
          <w:rFonts w:ascii="Times New Roman" w:cs="Times New Roman" w:eastAsia="Times New Roman" w:hAnsi="Times New Roman"/>
          <w:sz w:val="20"/>
          <w:szCs w:val="20"/>
          <w:color w:val="auto"/>
        </w:rPr>
      </w:pPr>
    </w:p>
    <w:p>
      <w:pPr>
        <w:ind w:left="640" w:hanging="313"/>
        <w:spacing w:after="0" w:line="238"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Travel expenses of the crew, including food, lodging, and ground transportation;</w:t>
      </w:r>
    </w:p>
    <w:p>
      <w:pPr>
        <w:ind w:left="640" w:hanging="313"/>
        <w:spacing w:after="0" w:line="238"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Hangar and tie-down costs away from the Aircraft's base of operation;</w:t>
      </w:r>
    </w:p>
    <w:p>
      <w:pPr>
        <w:ind w:left="640" w:hanging="313"/>
        <w:spacing w:after="0" w:line="225"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Insurance obtained for the specific flight;</w:t>
      </w:r>
    </w:p>
    <w:p>
      <w:pPr>
        <w:ind w:left="640" w:hanging="313"/>
        <w:spacing w:after="0" w:line="238"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Landing fees, airport taxes, and similar assessments;</w:t>
      </w:r>
    </w:p>
    <w:p>
      <w:pPr>
        <w:ind w:left="640" w:hanging="313"/>
        <w:spacing w:after="0" w:line="238"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Customs, foreign permit, and similar fees directly related to the flight;</w:t>
      </w:r>
    </w:p>
    <w:p>
      <w:pPr>
        <w:ind w:left="640" w:hanging="313"/>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In-flight food and beverages;</w:t>
      </w:r>
    </w:p>
    <w:p>
      <w:pPr>
        <w:ind w:left="640" w:hanging="313"/>
        <w:spacing w:after="0" w:line="238" w:lineRule="auto"/>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Passenger ground transportation;</w:t>
      </w:r>
    </w:p>
    <w:p>
      <w:pPr>
        <w:ind w:left="640" w:hanging="313"/>
        <w:spacing w:after="0" w:line="238" w:lineRule="auto"/>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Flight planning and weather contract services; and</w:t>
      </w:r>
    </w:p>
    <w:p>
      <w:pPr>
        <w:ind w:left="640" w:hanging="313"/>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 additional charge equal to one hundred percent (100%) of the expenses listed in clause (a) above.</w:t>
      </w:r>
    </w:p>
    <w:p>
      <w:pPr>
        <w:spacing w:after="0" w:line="2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Such charges shall be determined by the Company, in its sole discretion, based on its actual expenses incurred with respect to each flight under this Agreement, and broken down by the expenses permitted under 14 C.F.R. § 91.501(d).</w:t>
      </w:r>
    </w:p>
    <w:p>
      <w:pPr>
        <w:spacing w:after="0" w:line="161" w:lineRule="exact"/>
        <w:rPr>
          <w:sz w:val="20"/>
          <w:szCs w:val="20"/>
          <w:color w:val="auto"/>
        </w:rPr>
      </w:pPr>
    </w:p>
    <w:p>
      <w:pPr>
        <w:jc w:val="both"/>
        <w:ind w:firstLine="640"/>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b w:val="1"/>
          <w:bCs w:val="1"/>
          <w:i w:val="1"/>
          <w:iCs w:val="1"/>
          <w:color w:val="auto"/>
        </w:rPr>
        <w:t>Invoicing and Payment.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payments to be made to Company by Lessee hereunder (regardless of the manner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such payments are calculated pursuant to Section 2 above) shall be limited to the categories of costs identified in Items (a) through (j) of Section 2 above. Company will pay all expenses related to the operations of the Aircraft hereunder (including all those listed in clauses (a) through (i) of Section 2 above) in the ordinary course of Company's business. In obtaining reimbursement pursuant to Section 2, Company shall provide to Lessee an invoice for the appropriate amount to be charged as specified in Section 2 above for each flight Lessee and Lessee’s guests have taken under this Agreement (plus domestic or international air transportation excise taxes, as applicable, imposed on Lessee and its guests by the Internal Revenue Code for collection by Company) (the "Time Sharing Invoice"). Company shall issue the Time Sharing Invoice quarterly in arrears after the completion of each flight conducted under this Agreement. Lessee shall pay Company the full amount of such Time Sharing Invoice within forty five (45) days of the date of that invoice.</w:t>
      </w:r>
    </w:p>
    <w:p>
      <w:pPr>
        <w:spacing w:after="0" w:line="204"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b w:val="1"/>
          <w:bCs w:val="1"/>
          <w:i w:val="1"/>
          <w:iCs w:val="1"/>
          <w:color w:val="auto"/>
        </w:rPr>
        <w:t>Flight Requests.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Lessee will provide Company with flight requests and proposed flight schedules as far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advance as possible, and in any case at least 48 (forty-eight) hours in advance of Lessee’s desired departure, and Company shall in turn coordinate said flight requests. Flight requests shall be in a form, whether oral or written, mutually convenient to and agreed upon by the Parties.</w:t>
      </w:r>
    </w:p>
    <w:p>
      <w:pPr>
        <w:spacing w:after="0" w:line="189"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i w:val="1"/>
          <w:iCs w:val="1"/>
          <w:color w:val="auto"/>
        </w:rPr>
        <w:t>Aircraft Scheduling</w:t>
      </w:r>
      <w:r>
        <w:rPr>
          <w:rFonts w:ascii="Times New Roman" w:cs="Times New Roman" w:eastAsia="Times New Roman" w:hAnsi="Times New Roman"/>
          <w:sz w:val="21"/>
          <w:szCs w:val="21"/>
          <w:color w:val="auto"/>
        </w:rPr>
        <w:t>. As between Company and Lessee, Company shall have final authority and discretion over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scheduling of the Aircraft, and Company shall, at no time, be under any obligation to provide the Aircraft to Lessee for a particular flight or series of flights.</w:t>
      </w:r>
    </w:p>
    <w:p>
      <w:pPr>
        <w:spacing w:after="0" w:line="179"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b w:val="1"/>
          <w:bCs w:val="1"/>
          <w:i w:val="1"/>
          <w:iCs w:val="1"/>
          <w:color w:val="auto"/>
        </w:rPr>
        <w:t>Aircraft Maintenance.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between Company and Lessee, Company shall be solely responsible for securing,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causing others to secure, scheduled and unscheduled maintenance, preventive maintenance, and required or otherwise necessary inspections of the</w:t>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Aircraft, and shall take such requirements into account in scheduling the Aircraft. Performance of maintenance, preventive maintenance or inspection shall not be delayed or postponed for the purpose of scheduling the Aircraft unless, in the sole discretion of the pilot-in-command, such maintenance or inspection can safely be conducted at a later time in compliance with applicable laws, regulations and requirements.</w:t>
      </w:r>
    </w:p>
    <w:p>
      <w:pPr>
        <w:spacing w:after="0" w:line="189" w:lineRule="exact"/>
        <w:rPr>
          <w:sz w:val="20"/>
          <w:szCs w:val="20"/>
          <w:color w:val="auto"/>
        </w:rPr>
      </w:pPr>
    </w:p>
    <w:p>
      <w:pPr>
        <w:jc w:val="both"/>
        <w:ind w:firstLine="576"/>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7. </w:t>
      </w:r>
      <w:r>
        <w:rPr>
          <w:rFonts w:ascii="Times New Roman" w:cs="Times New Roman" w:eastAsia="Times New Roman" w:hAnsi="Times New Roman"/>
          <w:sz w:val="21"/>
          <w:szCs w:val="21"/>
          <w:b w:val="1"/>
          <w:bCs w:val="1"/>
          <w:i w:val="1"/>
          <w:iCs w:val="1"/>
          <w:color w:val="auto"/>
        </w:rPr>
        <w:t>Flight Crew.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each flight undertaken under this Agreement, the Company shall contract for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 a qualified flight crew for all flight operations under this Agreement.</w:t>
      </w:r>
    </w:p>
    <w:p>
      <w:pPr>
        <w:spacing w:after="0" w:line="142"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1"/>
          <w:szCs w:val="21"/>
          <w:b w:val="1"/>
          <w:bCs w:val="1"/>
          <w:i w:val="1"/>
          <w:iCs w:val="1"/>
          <w:color w:val="auto"/>
        </w:rPr>
        <w:t>Operational Authority and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each flight undertaken under this Agreement, Company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retain operational control of the Aircraft as provided in the applicable FARs (as defined in Section 1.1 of the FARs, “operational control” with respect to a fligth means the exercuise of authority over initiating, conducting, or terminating a flight).</w:t>
      </w:r>
    </w:p>
    <w:p>
      <w:pPr>
        <w:jc w:val="both"/>
        <w:ind w:firstLine="576"/>
        <w:spacing w:after="0"/>
        <w:rPr>
          <w:sz w:val="20"/>
          <w:szCs w:val="20"/>
          <w:color w:val="auto"/>
        </w:rPr>
      </w:pPr>
      <w:r>
        <w:rPr>
          <w:rFonts w:ascii="Times New Roman" w:cs="Times New Roman" w:eastAsia="Times New Roman" w:hAnsi="Times New Roman"/>
          <w:sz w:val="21"/>
          <w:szCs w:val="21"/>
          <w:color w:val="auto"/>
        </w:rPr>
        <w:t>In accordance with the applicable provisions of the FARs, the qualified flight crew provided by Company will exercise all required and/or appropriate duties and responsibilities in regard to the safety of each flight conducted hereunder. The pilot-in-command shall have absolute discretion in all matters concerning the preparation of the Aircraft for flight and the flight itself, the load carried and its distribution, the decision whether or not a flight shall be undertaken, the route to be flown, the place where landings shall be made, and all other matters relating to operation of the Aircraft. Lessee specifically agrees that the flight crew shall have final and complete authority to delay or cancel any flight for any reason or condition which in the sole judgment of the pilot-in-command could compromise the safety of the flight, and to take any other action which in the sole judgment of the pilot-in-command is necessitated by considerations of safety. No such action of the pilot-in-command shall create or support any liability to Lessee or any other person for loss, injury, damage, or delay. The Parties further agree that Company shall not be liable for delay or failure to furnish the Aircraft and crew pursuant to this Agreement for any reason or no reason including, without limitation, circumstances when such failure is caused by government regulation or authority, mechanical difficulty or breakdown, war, civil commotion, strikes or labor disputes, weather conditions, acts of God, or other circumstances within or beyond Company's reasonable control.</w:t>
      </w:r>
    </w:p>
    <w:p>
      <w:pPr>
        <w:spacing w:after="0" w:line="200" w:lineRule="exact"/>
        <w:rPr>
          <w:sz w:val="20"/>
          <w:szCs w:val="20"/>
          <w:color w:val="auto"/>
        </w:rPr>
      </w:pPr>
    </w:p>
    <w:p>
      <w:pPr>
        <w:spacing w:after="0" w:line="241"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Section 9. </w:t>
      </w:r>
      <w:r>
        <w:rPr>
          <w:rFonts w:ascii="Times New Roman" w:cs="Times New Roman" w:eastAsia="Times New Roman" w:hAnsi="Times New Roman"/>
          <w:sz w:val="20"/>
          <w:szCs w:val="20"/>
          <w:b w:val="1"/>
          <w:bCs w:val="1"/>
          <w:i w:val="1"/>
          <w:iCs w:val="1"/>
          <w:color w:val="auto"/>
        </w:rPr>
        <w:t>Insurance and Indemnification.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Company will maintain or cause to be maintained in full force and effect throughout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 of this Agreement aircraft hull and third-party liability insurance in respect of each Aircraft.</w:t>
      </w:r>
    </w:p>
    <w:p>
      <w:pPr>
        <w:spacing w:after="0" w:line="175" w:lineRule="exact"/>
        <w:rPr>
          <w:sz w:val="20"/>
          <w:szCs w:val="20"/>
          <w:color w:val="auto"/>
        </w:rPr>
      </w:pPr>
    </w:p>
    <w:p>
      <w:pPr>
        <w:ind w:firstLine="647"/>
        <w:spacing w:after="0" w:line="262" w:lineRule="auto"/>
        <w:tabs>
          <w:tab w:leader="none" w:pos="95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Company’s liability under this Agreement shall be limited to the proceeds of the third-party liability insurance referenced in Section 9(a) with respect to any claims that Lessee may have under this Agreement.</w:t>
      </w:r>
    </w:p>
    <w:p>
      <w:pPr>
        <w:spacing w:after="0" w:line="178" w:lineRule="exact"/>
        <w:rPr>
          <w:rFonts w:ascii="Times New Roman" w:cs="Times New Roman" w:eastAsia="Times New Roman" w:hAnsi="Times New Roman"/>
          <w:sz w:val="20"/>
          <w:szCs w:val="20"/>
          <w:color w:val="auto"/>
        </w:rPr>
      </w:pPr>
    </w:p>
    <w:p>
      <w:pPr>
        <w:jc w:val="both"/>
        <w:ind w:firstLine="647"/>
        <w:spacing w:after="0" w:line="236" w:lineRule="auto"/>
        <w:tabs>
          <w:tab w:leader="none" w:pos="91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Company be liable to Lessee or its employees, agents, guests, or invitees (and the lawful successors and assigns thereof) for any indirect, consequential, special, or incidental damages and/or punitive damages of any kind or nature, under any circumstances or for any reason, including and not limited to any delay or failure to furnish the Aircraft, or caused by the performance of non-performance by Company of this Agreement.</w:t>
      </w:r>
    </w:p>
    <w:p>
      <w:pPr>
        <w:spacing w:after="0" w:line="216" w:lineRule="exact"/>
        <w:rPr>
          <w:rFonts w:ascii="Times New Roman" w:cs="Times New Roman" w:eastAsia="Times New Roman" w:hAnsi="Times New Roman"/>
          <w:sz w:val="20"/>
          <w:szCs w:val="20"/>
          <w:color w:val="auto"/>
        </w:rPr>
      </w:pPr>
    </w:p>
    <w:p>
      <w:pPr>
        <w:jc w:val="both"/>
        <w:ind w:firstLine="647"/>
        <w:spacing w:after="0" w:line="302" w:lineRule="auto"/>
        <w:tabs>
          <w:tab w:leader="none" w:pos="9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agrees to indemnify, defend, and hold Company harmless from any claims, suits, liabilities, losses, costs, or expenses for injury to persons, or damage to property in any way arising out of its misrepresentations, negligence, misconduct, or breach of this Agreement.</w:t>
      </w:r>
    </w:p>
    <w:p>
      <w:pPr>
        <w:sectPr>
          <w:pgSz w:w="11900" w:h="16838" w:orient="portrait"/>
          <w:cols w:equalWidth="0" w:num="1">
            <w:col w:w="11240"/>
          </w:cols>
          <w:pgMar w:left="320" w:top="117" w:right="339" w:bottom="1440" w:gutter="0" w:footer="0" w:header="0"/>
        </w:sectPr>
      </w:pPr>
    </w:p>
    <w:bookmarkStart w:id="120" w:name="page121"/>
    <w:bookmarkEnd w:id="120"/>
    <w:p>
      <w:pPr>
        <w:ind w:left="10240"/>
        <w:spacing w:after="0"/>
        <w:rPr>
          <w:sz w:val="20"/>
          <w:szCs w:val="20"/>
          <w:color w:val="auto"/>
        </w:rPr>
      </w:pPr>
      <w:r>
        <w:rPr>
          <w:rFonts w:ascii="Times New Roman" w:cs="Times New Roman" w:eastAsia="Times New Roman" w:hAnsi="Times New Roman"/>
          <w:sz w:val="17"/>
          <w:szCs w:val="17"/>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1"/>
          <w:szCs w:val="21"/>
          <w:b w:val="1"/>
          <w:bCs w:val="1"/>
          <w:color w:val="auto"/>
        </w:rPr>
        <w:t xml:space="preserve">Section 10. </w:t>
      </w:r>
      <w:r>
        <w:rPr>
          <w:rFonts w:ascii="Times New Roman" w:cs="Times New Roman" w:eastAsia="Times New Roman" w:hAnsi="Times New Roman"/>
          <w:sz w:val="21"/>
          <w:szCs w:val="21"/>
          <w:b w:val="1"/>
          <w:bCs w:val="1"/>
          <w:i w:val="1"/>
          <w:iCs w:val="1"/>
          <w:color w:val="auto"/>
        </w:rPr>
        <w:t>Warranties.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Lessee warrants that:</w:t>
      </w:r>
    </w:p>
    <w:p>
      <w:pPr>
        <w:spacing w:after="0" w:line="239" w:lineRule="exact"/>
        <w:rPr>
          <w:sz w:val="20"/>
          <w:szCs w:val="20"/>
          <w:color w:val="auto"/>
        </w:rPr>
      </w:pPr>
    </w:p>
    <w:p>
      <w:pPr>
        <w:jc w:val="both"/>
        <w:ind w:firstLine="1217"/>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10.1. </w:t>
      </w:r>
      <w:r>
        <w:rPr>
          <w:rFonts w:ascii="Times New Roman" w:cs="Times New Roman" w:eastAsia="Times New Roman" w:hAnsi="Times New Roman"/>
          <w:sz w:val="21"/>
          <w:szCs w:val="21"/>
          <w:b w:val="1"/>
          <w:bCs w:val="1"/>
          <w:i w:val="1"/>
          <w:iCs w:val="1"/>
          <w:color w:val="auto"/>
        </w:rPr>
        <w:t>No Commercial 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Lessee will use the Aircraft under this Agreement for, and only for, its own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 including the carriage of its guests, and will not use the Aircraft for purposes of providing transportation of passengers or cargo in air commerce for compensation or hire as a commercial operator or air carrier.</w:t>
      </w:r>
    </w:p>
    <w:p>
      <w:pPr>
        <w:spacing w:after="0" w:line="179" w:lineRule="exact"/>
        <w:rPr>
          <w:sz w:val="20"/>
          <w:szCs w:val="20"/>
          <w:color w:val="auto"/>
        </w:rPr>
      </w:pPr>
    </w:p>
    <w:p>
      <w:pPr>
        <w:jc w:val="both"/>
        <w:ind w:firstLine="121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10.2. </w:t>
      </w:r>
      <w:r>
        <w:rPr>
          <w:rFonts w:ascii="Times New Roman" w:cs="Times New Roman" w:eastAsia="Times New Roman" w:hAnsi="Times New Roman"/>
          <w:sz w:val="21"/>
          <w:szCs w:val="21"/>
          <w:b w:val="1"/>
          <w:bCs w:val="1"/>
          <w:i w:val="1"/>
          <w:iCs w:val="1"/>
          <w:color w:val="auto"/>
        </w:rPr>
        <w:t>No Liens.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Lessee will not permit any lien, security interest or other charge or encumbrance to attach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against the Aircraft as a result of its action or inaction, and shall not convey, mortgage, assign, lease or in any way alienate the Aircraft or Company's rights hereunder.</w:t>
      </w:r>
    </w:p>
    <w:p>
      <w:pPr>
        <w:spacing w:after="0" w:line="1" w:lineRule="exact"/>
        <w:rPr>
          <w:sz w:val="20"/>
          <w:szCs w:val="20"/>
          <w:color w:val="auto"/>
        </w:rPr>
      </w:pPr>
    </w:p>
    <w:p>
      <w:pPr>
        <w:jc w:val="both"/>
        <w:ind w:firstLine="1217"/>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Section 10.3. </w:t>
      </w:r>
      <w:r>
        <w:rPr>
          <w:rFonts w:ascii="Times New Roman" w:cs="Times New Roman" w:eastAsia="Times New Roman" w:hAnsi="Times New Roman"/>
          <w:sz w:val="21"/>
          <w:szCs w:val="21"/>
          <w:b w:val="1"/>
          <w:bCs w:val="1"/>
          <w:i w:val="1"/>
          <w:iCs w:val="1"/>
          <w:color w:val="auto"/>
        </w:rPr>
        <w:t>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term of this Agreement, Lessee will abide by and conform to all laws, orders, rules,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regulations as shall from time to time be in effect relating in any way to the operation or use of the Aircraft under this Agreement or otherwise.</w:t>
      </w:r>
    </w:p>
    <w:p>
      <w:pPr>
        <w:spacing w:after="0" w:line="191"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b w:val="1"/>
          <w:bCs w:val="1"/>
          <w:i w:val="1"/>
          <w:iCs w:val="1"/>
          <w:color w:val="auto"/>
        </w:rPr>
        <w:t>Notices and Communications.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notices and other communications under this Agreement shall be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permitted in Section 4) and shall be given (and shall be deemed to have been duly given upon receipt or refusal to accept receipt) by personal delivery, by Email (address below) (with a simultaneous confirmation copy sent by first class mail properly addressed), or by a reputable overnight courier service, addressed as follows: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Company:</w:t>
      </w:r>
    </w:p>
    <w:p>
      <w:pPr>
        <w:spacing w:after="0" w:line="2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Laboratory Corporation of America Holdings</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Attn: Chief Legal Officer</w:t>
      </w:r>
    </w:p>
    <w:p>
      <w:pPr>
        <w:ind w:left="1220"/>
        <w:spacing w:after="0" w:line="238" w:lineRule="auto"/>
        <w:rPr>
          <w:sz w:val="20"/>
          <w:szCs w:val="20"/>
          <w:color w:val="auto"/>
        </w:rPr>
      </w:pPr>
      <w:r>
        <w:rPr>
          <w:rFonts w:ascii="Times New Roman" w:cs="Times New Roman" w:eastAsia="Times New Roman" w:hAnsi="Times New Roman"/>
          <w:sz w:val="21"/>
          <w:szCs w:val="21"/>
          <w:color w:val="auto"/>
        </w:rPr>
        <w:t>531 S. Spring Street</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Burlington, NC 27215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Lessee:</w:t>
      </w:r>
    </w:p>
    <w:p>
      <w:pPr>
        <w:spacing w:after="0" w:line="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1"/>
          <w:szCs w:val="21"/>
          <w:color w:val="auto"/>
        </w:rPr>
        <w:t>At the last address shown on the payroll records of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to such other person or address as either Party may from time to time designate in writing to the other Party.</w:t>
      </w:r>
    </w:p>
    <w:p>
      <w:pPr>
        <w:spacing w:after="0" w:line="233"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12. </w:t>
      </w:r>
      <w:r>
        <w:rPr>
          <w:rFonts w:ascii="Times New Roman" w:cs="Times New Roman" w:eastAsia="Times New Roman" w:hAnsi="Times New Roman"/>
          <w:sz w:val="21"/>
          <w:szCs w:val="21"/>
          <w:b w:val="1"/>
          <w:bCs w:val="1"/>
          <w:i w:val="1"/>
          <w:iCs w:val="1"/>
          <w:color w:val="auto"/>
        </w:rPr>
        <w:t>Further Acts.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Lessee shall from time to time perform such other and further acts and execute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other and further instruments as may be required by law or may be reasonably necessary (i) to carry out the intent and purpose of this Agreement, and (ii) to establish, maintain and protect the respective rights and remedies of the Parties.</w:t>
      </w:r>
    </w:p>
    <w:p>
      <w:pPr>
        <w:spacing w:after="0" w:line="179"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13. </w:t>
      </w:r>
      <w:r>
        <w:rPr>
          <w:rFonts w:ascii="Times New Roman" w:cs="Times New Roman" w:eastAsia="Times New Roman" w:hAnsi="Times New Roman"/>
          <w:sz w:val="21"/>
          <w:szCs w:val="21"/>
          <w:b w:val="1"/>
          <w:bCs w:val="1"/>
          <w:i w:val="1"/>
          <w:iCs w:val="1"/>
          <w:color w:val="auto"/>
        </w:rPr>
        <w:t>Successors and Assigns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Neither this Agreement nor any Party's interest herein shall be assignable to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This Agreement shall inure to the benefit of and be binding upon the Parties, their heirs, representatives, and successors.</w:t>
      </w:r>
    </w:p>
    <w:p>
      <w:pPr>
        <w:spacing w:after="0" w:line="142"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14. </w:t>
      </w:r>
      <w:r>
        <w:rPr>
          <w:rFonts w:ascii="Times New Roman" w:cs="Times New Roman" w:eastAsia="Times New Roman" w:hAnsi="Times New Roman"/>
          <w:sz w:val="21"/>
          <w:szCs w:val="21"/>
          <w:b w:val="1"/>
          <w:bCs w:val="1"/>
          <w:i w:val="1"/>
          <w:iCs w:val="1"/>
          <w:color w:val="auto"/>
        </w:rPr>
        <w:t>Governing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governed by and construed in accordance with the laws of the 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Delaware. This Delaware choice of law provision shall not be relevant, admissible, or otherwise cited by either Party in connection with any dispute over venue, forum, and/or jurisdiction for any action, lawsuit or proceeding involving the parties.</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15. </w:t>
      </w:r>
      <w:r>
        <w:rPr>
          <w:rFonts w:ascii="Times New Roman" w:cs="Times New Roman" w:eastAsia="Times New Roman" w:hAnsi="Times New Roman"/>
          <w:sz w:val="21"/>
          <w:szCs w:val="21"/>
          <w:b w:val="1"/>
          <w:bCs w:val="1"/>
          <w:i w:val="1"/>
          <w:iCs w:val="1"/>
          <w:color w:val="auto"/>
        </w:rPr>
        <w:t>Severability.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any provision of this Agreement is held to be illegal, invalid, or unenforceable, the legality,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validity and enforceability of the remaining provisions shall not be affected or impaired. Any provision of this Agreement that is prohibited or unenforceable in any jurisdiction shall, as to such jurisdiction, be ineffective to the extent of such prohibition or unenforceability, and any prohibition or unenforceability in any particular jurisdiction shall not invalidate or render unenforceable such provision in any other jurisdiction.</w:t>
      </w:r>
    </w:p>
    <w:p>
      <w:pPr>
        <w:spacing w:after="0" w:line="188" w:lineRule="exact"/>
        <w:rPr>
          <w:sz w:val="20"/>
          <w:szCs w:val="20"/>
          <w:color w:val="auto"/>
        </w:rPr>
      </w:pPr>
    </w:p>
    <w:p>
      <w:pPr>
        <w:jc w:val="both"/>
        <w:ind w:firstLine="640"/>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Section 16. </w:t>
      </w:r>
      <w:r>
        <w:rPr>
          <w:rFonts w:ascii="Times New Roman" w:cs="Times New Roman" w:eastAsia="Times New Roman" w:hAnsi="Times New Roman"/>
          <w:sz w:val="21"/>
          <w:szCs w:val="21"/>
          <w:b w:val="1"/>
          <w:bCs w:val="1"/>
          <w:i w:val="1"/>
          <w:iCs w:val="1"/>
          <w:color w:val="auto"/>
        </w:rPr>
        <w:t>Headings; 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headings herein are inserted only for convenience and shall not affect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interpretation of this Agreement. This Agreement may be executed in any number of counterparts, and each counterpart shall for all purposes be deemed to be an original, all of which together shall constitute one and the same agreement. Any signed document transmitted electronically shall be treated in all manner and respects as an original document. The signature of any Party sent electronically shall be considered as an original signature.</w:t>
      </w:r>
    </w:p>
    <w:p>
      <w:pPr>
        <w:spacing w:after="0" w:line="195"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1"/>
          <w:szCs w:val="21"/>
          <w:b w:val="1"/>
          <w:bCs w:val="1"/>
          <w:color w:val="auto"/>
        </w:rPr>
        <w:t>Section 17</w:t>
      </w:r>
      <w:r>
        <w:rPr>
          <w:rFonts w:ascii="Times New Roman" w:cs="Times New Roman" w:eastAsia="Times New Roman" w:hAnsi="Times New Roman"/>
          <w:sz w:val="21"/>
          <w:szCs w:val="21"/>
          <w:b w:val="1"/>
          <w:bCs w:val="1"/>
          <w:i w:val="1"/>
          <w:iCs w:val="1"/>
          <w:color w:val="auto"/>
        </w:rPr>
        <w:t>. Entire Agreement; Amendment or Modification.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constitutes the entire agreement between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with respect to the subject matter hereof, supersedes and replaces any previous agreement between the parties hereto concerning the subject matter hereof, and is not intended to confer upon any person or entity any rights or remedies hereunder which are not expressly granted herein. This Agreement may be amended or modified only in writing duly executed by the Parties hereto.</w:t>
      </w:r>
    </w:p>
    <w:p>
      <w:pPr>
        <w:spacing w:after="0" w:line="200" w:lineRule="exact"/>
        <w:rPr>
          <w:sz w:val="20"/>
          <w:szCs w:val="20"/>
          <w:color w:val="auto"/>
        </w:rPr>
      </w:pPr>
    </w:p>
    <w:p>
      <w:pPr>
        <w:spacing w:after="0" w:line="239"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Section 18. </w:t>
      </w:r>
      <w:r>
        <w:rPr>
          <w:rFonts w:ascii="Times New Roman" w:cs="Times New Roman" w:eastAsia="Times New Roman" w:hAnsi="Times New Roman"/>
          <w:sz w:val="21"/>
          <w:szCs w:val="21"/>
          <w:b w:val="1"/>
          <w:bCs w:val="1"/>
          <w:i w:val="1"/>
          <w:iCs w:val="1"/>
          <w:color w:val="auto"/>
        </w:rPr>
        <w:t>No Waiver</w:t>
      </w:r>
      <w:r>
        <w:rPr>
          <w:rFonts w:ascii="Times New Roman" w:cs="Times New Roman" w:eastAsia="Times New Roman" w:hAnsi="Times New Roman"/>
          <w:sz w:val="21"/>
          <w:szCs w:val="21"/>
          <w:color w:val="auto"/>
        </w:rPr>
        <w:t>. No failure on the part of either Party to this Agreement to exercise any power, right, privilege,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remedy hereunder, and no delay on the part of either Party in exercising any power, right, privilege, or remedy, shall operate as a waiver thereof; and no single or partial exercise of any such power, right, privilege, or remedy shall preclude any other or further exercise thereof or of any other power, right, privilege, or remedy.</w:t>
      </w:r>
    </w:p>
    <w:p>
      <w:pPr>
        <w:spacing w:after="0" w:line="189"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19. </w:t>
      </w:r>
      <w:r>
        <w:rPr>
          <w:rFonts w:ascii="Times New Roman" w:cs="Times New Roman" w:eastAsia="Times New Roman" w:hAnsi="Times New Roman"/>
          <w:sz w:val="21"/>
          <w:szCs w:val="21"/>
          <w:b w:val="1"/>
          <w:bCs w:val="1"/>
          <w:i w:val="1"/>
          <w:iCs w:val="1"/>
          <w:color w:val="auto"/>
        </w:rPr>
        <w:t>Waiver of Jury Trial</w:t>
      </w:r>
      <w:r>
        <w:rPr>
          <w:rFonts w:ascii="Times New Roman" w:cs="Times New Roman" w:eastAsia="Times New Roman" w:hAnsi="Times New Roman"/>
          <w:sz w:val="21"/>
          <w:szCs w:val="21"/>
          <w:color w:val="auto"/>
        </w:rPr>
        <w:t>. The Parties hereby irrevocably waive, to the fullest extent permitted by applicable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and all right to trial by jury in any legal proceeding arising out of or relating to this Agreement or the transactions contemplated hereby.</w:t>
      </w:r>
    </w:p>
    <w:p>
      <w:pPr>
        <w:spacing w:after="0" w:line="179"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20. </w:t>
      </w:r>
      <w:r>
        <w:rPr>
          <w:rFonts w:ascii="Times New Roman" w:cs="Times New Roman" w:eastAsia="Times New Roman" w:hAnsi="Times New Roman"/>
          <w:sz w:val="21"/>
          <w:szCs w:val="21"/>
          <w:b w:val="1"/>
          <w:bCs w:val="1"/>
          <w:i w:val="1"/>
          <w:iCs w:val="1"/>
          <w:color w:val="auto"/>
        </w:rPr>
        <w:t>Exclusive Jurisdiction; Venue</w:t>
      </w:r>
      <w:r>
        <w:rPr>
          <w:rFonts w:ascii="Times New Roman" w:cs="Times New Roman" w:eastAsia="Times New Roman" w:hAnsi="Times New Roman"/>
          <w:sz w:val="21"/>
          <w:szCs w:val="21"/>
          <w:color w:val="auto"/>
        </w:rPr>
        <w:t>. The Parties understand and agree that the federal and/or state courts located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North Carolina shall have exclusive jurisdiction with regard to any litigation relating to this Agreement and that venue shall be proper only in the State of North Carolina and any federal court whose judicial district encompasses the State of North Carolina, and that any objection to this jurisdiction or venue is specifically waived.</w:t>
      </w:r>
    </w:p>
    <w:p>
      <w:pPr>
        <w:spacing w:after="0" w:line="187"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21"/>
          <w:szCs w:val="21"/>
          <w:b w:val="1"/>
          <w:bCs w:val="1"/>
          <w:color w:val="auto"/>
        </w:rPr>
        <w:t xml:space="preserve">Section 21. </w:t>
      </w:r>
      <w:r>
        <w:rPr>
          <w:rFonts w:ascii="Times New Roman" w:cs="Times New Roman" w:eastAsia="Times New Roman" w:hAnsi="Times New Roman"/>
          <w:sz w:val="21"/>
          <w:szCs w:val="21"/>
          <w:b w:val="1"/>
          <w:bCs w:val="1"/>
          <w:i w:val="1"/>
          <w:iCs w:val="1"/>
          <w:color w:val="auto"/>
        </w:rPr>
        <w:t>TRUTH IN LEASING STATEMENT PURSUANT TO SECTION 91.23 OF THE FEDERAL AVIATION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REGULATIONS:</w:t>
      </w:r>
    </w:p>
    <w:p>
      <w:pPr>
        <w:spacing w:after="0" w:line="172" w:lineRule="exact"/>
        <w:rPr>
          <w:sz w:val="20"/>
          <w:szCs w:val="20"/>
          <w:color w:val="auto"/>
        </w:rPr>
      </w:pPr>
    </w:p>
    <w:p>
      <w:pPr>
        <w:jc w:val="both"/>
        <w:ind w:left="640" w:hanging="313"/>
        <w:spacing w:after="0" w:line="248" w:lineRule="auto"/>
        <w:tabs>
          <w:tab w:leader="none" w:pos="63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COMPANY CERTIFIES THAT THE AIRCRAFT HAS BEEN INSPECTED AND MAINTAINED WITHIN THE 12-MONTH PERIOD PRECEDING THE DATE OF THIS AGREEMENT IN ACCORDANCE WITH THE PROVISIONS OF PART 91 OF THE FEDERAL AVIATION REGULATIONS, EXCEPT TO THE EXTENT THE AIRCRAFT IS LESS THAN 12 MONTHS OLD, AND THAT ALL APPLICABLE REQUIREMENTS FOR THE AIRCRAFT'S MAINTENANCE</w:t>
      </w:r>
    </w:p>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320"/>
        <w:spacing w:after="0" w:line="279" w:lineRule="auto"/>
        <w:rPr>
          <w:sz w:val="20"/>
          <w:szCs w:val="20"/>
          <w:color w:val="auto"/>
        </w:rPr>
      </w:pPr>
      <w:r>
        <w:rPr>
          <w:rFonts w:ascii="Times New Roman" w:cs="Times New Roman" w:eastAsia="Times New Roman" w:hAnsi="Times New Roman"/>
          <w:sz w:val="21"/>
          <w:szCs w:val="21"/>
          <w:b w:val="1"/>
          <w:bCs w:val="1"/>
          <w:color w:val="auto"/>
        </w:rPr>
        <w:t>AND INSPECTION THEREUNDER HAVE BEEN MET AND ARE VALID FOR THE OPERATIONS TO BE CONDUCTED UNDER THIS AGREEMENT.</w:t>
      </w:r>
    </w:p>
    <w:p>
      <w:pPr>
        <w:spacing w:after="0" w:line="159" w:lineRule="exact"/>
        <w:rPr>
          <w:sz w:val="20"/>
          <w:szCs w:val="20"/>
          <w:color w:val="auto"/>
        </w:rPr>
      </w:pPr>
    </w:p>
    <w:p>
      <w:pPr>
        <w:jc w:val="both"/>
        <w:ind w:left="320" w:hanging="313"/>
        <w:spacing w:after="0" w:line="252" w:lineRule="auto"/>
        <w:tabs>
          <w:tab w:leader="none" w:pos="30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COMPANY AGREES, CERTIFIES AND ACKNOWLEDGES THAT WHENEVER THE AIRCRAFT IS OPERATED UNDER THIS AGREEMENT, COMPANY SHALL BE KNOWN AS, CONSIDERED, AND SHALL IN FACT BE THE COMPANY OF THE AIRCRAFT, AND THAT COMPANY UNDERSTANDS ITS RESPONSIBILITIES FOR COMPLIANCE WITH THE APPLICABLE FEDERAL AVIATION REGULATIONS.</w:t>
      </w:r>
    </w:p>
    <w:p>
      <w:pPr>
        <w:spacing w:after="0" w:line="173" w:lineRule="exact"/>
        <w:rPr>
          <w:rFonts w:ascii="Times New Roman" w:cs="Times New Roman" w:eastAsia="Times New Roman" w:hAnsi="Times New Roman"/>
          <w:sz w:val="20"/>
          <w:szCs w:val="20"/>
          <w:color w:val="auto"/>
        </w:rPr>
      </w:pPr>
    </w:p>
    <w:p>
      <w:pPr>
        <w:jc w:val="both"/>
        <w:ind w:left="320" w:hanging="313"/>
        <w:spacing w:after="0" w:line="245" w:lineRule="auto"/>
        <w:tabs>
          <w:tab w:leader="none" w:pos="31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THE PARTIES UNDERSTAND THAT AN EXPLANATION OF FACTORS AND PERTINENT FEDERAL AVIATION REGULATIONS BEARING ON OPERATIONAL CONTROL CAN BE OBTAINED FROM THE NEAREST FAA FLIGHT STANDARDS DISTRICT OFFICE. COMPANY FURTHER CERTIFIES THAT IT WILL SEND, OR CAUSE TO BE SENT, A TRUE COPY OF THIS AGREEMENT TO: FEDERAL AVIATION ADMINISTRATION, AIRCRAFT REGISTRATION BRANCH, ATTN. TECHNICAL SECTION (AVN-450), P.O. BOX 25724, OKLAHOMA CITY, OKLAHOMA 73125, WITHIN 24 HOURS AFTER ITS EXECUTION, AS REQUIRED BY SECTION 91.23(c)(1) OF THE FEDERAL AVIATION REGULATIONS.</w:t>
      </w:r>
    </w:p>
    <w:p>
      <w:pPr>
        <w:spacing w:after="0" w:line="193" w:lineRule="exact"/>
        <w:rPr>
          <w:rFonts w:ascii="Times New Roman" w:cs="Times New Roman" w:eastAsia="Times New Roman" w:hAnsi="Times New Roman"/>
          <w:sz w:val="20"/>
          <w:szCs w:val="20"/>
          <w:color w:val="auto"/>
        </w:rPr>
      </w:pPr>
    </w:p>
    <w:p>
      <w:pPr>
        <w:ind w:left="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 xml:space="preserve">Section 22. </w:t>
      </w:r>
      <w:r>
        <w:rPr>
          <w:rFonts w:ascii="Times New Roman" w:cs="Times New Roman" w:eastAsia="Times New Roman" w:hAnsi="Times New Roman"/>
          <w:sz w:val="21"/>
          <w:szCs w:val="21"/>
          <w:b w:val="1"/>
          <w:bCs w:val="1"/>
          <w:i w:val="1"/>
          <w:iCs w:val="1"/>
          <w:color w:val="auto"/>
        </w:rPr>
        <w:t>Description of Aircraft.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[Redacted]</w:t>
      </w:r>
    </w:p>
    <w:p>
      <w:pPr>
        <w:sectPr>
          <w:pgSz w:w="11900" w:h="16838" w:orient="portrait"/>
          <w:cols w:equalWidth="0" w:num="1">
            <w:col w:w="10920"/>
          </w:cols>
          <w:pgMar w:left="64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on the day and year first above written. The persons signing below warrant their authority to sign.</w:t>
      </w:r>
    </w:p>
    <w:p>
      <w:pPr>
        <w:spacing w:after="0" w:line="200" w:lineRule="exact"/>
        <w:rPr>
          <w:sz w:val="20"/>
          <w:szCs w:val="20"/>
          <w:color w:val="auto"/>
        </w:rPr>
      </w:pP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9" w:lineRule="exact"/>
        <w:rPr>
          <w:sz w:val="20"/>
          <w:szCs w:val="20"/>
          <w:color w:val="auto"/>
        </w:rPr>
      </w:pPr>
    </w:p>
    <w:p>
      <w:pPr>
        <w:ind w:left="488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Sandra D.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12065</wp:posOffset>
            </wp:positionV>
            <wp:extent cx="35331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Sandra D. van der Vaart</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EVP, Chief Legal Officer and Corporate Secretary</w:t>
      </w:r>
    </w:p>
    <w:p>
      <w:pPr>
        <w:spacing w:after="0" w:line="26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LESSEE</w:t>
      </w:r>
    </w:p>
    <w:p>
      <w:pPr>
        <w:spacing w:after="0" w:line="29" w:lineRule="exact"/>
        <w:rPr>
          <w:sz w:val="20"/>
          <w:szCs w:val="20"/>
          <w:color w:val="auto"/>
        </w:rPr>
      </w:pPr>
    </w:p>
    <w:p>
      <w:pPr>
        <w:ind w:left="488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H. SCHECTER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12065</wp:posOffset>
            </wp:positionV>
            <wp:extent cx="35331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Adam H. Schecter</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CEO and President</w:t>
      </w:r>
    </w:p>
    <w:p>
      <w:pPr>
        <w:sectPr>
          <w:pgSz w:w="11900" w:h="16838" w:orient="portrait"/>
          <w:cols w:equalWidth="0" w:num="1">
            <w:col w:w="11240"/>
          </w:cols>
          <w:pgMar w:left="32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395CE9"/>
        </w:rPr>
        <w:t>BUSINESS PRACTICES MANUAL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49"/>
          <w:szCs w:val="49"/>
          <w:color w:val="auto"/>
        </w:rPr>
        <w:t>Insider trading policy</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20" w:type="dxa"/>
            <w:vAlign w:val="bottom"/>
            <w:tcBorders>
              <w:top w:val="single" w:sz="8" w:color="auto"/>
              <w:left w:val="single" w:sz="8" w:color="auto"/>
            </w:tcBorders>
          </w:tcPr>
          <w:p>
            <w:pPr>
              <w:ind w:left="80"/>
              <w:spacing w:after="0"/>
              <w:rPr>
                <w:sz w:val="20"/>
                <w:szCs w:val="20"/>
                <w:color w:val="auto"/>
              </w:rPr>
            </w:pPr>
            <w:r>
              <w:rPr>
                <w:rFonts w:ascii="Calibri" w:cs="Calibri" w:eastAsia="Calibri" w:hAnsi="Calibri"/>
                <w:sz w:val="18"/>
                <w:szCs w:val="18"/>
                <w:b w:val="1"/>
                <w:bCs w:val="1"/>
                <w:color w:val="auto"/>
              </w:rPr>
              <w:t>Policy Number</w:t>
            </w:r>
          </w:p>
        </w:tc>
        <w:tc>
          <w:tcPr>
            <w:tcW w:w="9100" w:type="dxa"/>
            <w:vAlign w:val="bottom"/>
            <w:tcBorders>
              <w:top w:val="single" w:sz="8" w:color="auto"/>
              <w:right w:val="single" w:sz="8" w:color="auto"/>
            </w:tcBorders>
          </w:tcPr>
          <w:p>
            <w:pPr>
              <w:ind w:left="480"/>
              <w:spacing w:after="0"/>
              <w:rPr>
                <w:sz w:val="20"/>
                <w:szCs w:val="20"/>
                <w:color w:val="auto"/>
              </w:rPr>
            </w:pPr>
            <w:r>
              <w:rPr>
                <w:rFonts w:ascii="Calibri" w:cs="Calibri" w:eastAsia="Calibri" w:hAnsi="Calibri"/>
                <w:sz w:val="18"/>
                <w:szCs w:val="18"/>
                <w:color w:val="auto"/>
              </w:rPr>
              <w:t>BPM-16</w:t>
            </w:r>
          </w:p>
        </w:tc>
      </w:tr>
      <w:tr>
        <w:trPr>
          <w:trHeight w:val="286"/>
        </w:trPr>
        <w:tc>
          <w:tcPr>
            <w:tcW w:w="2120" w:type="dxa"/>
            <w:vAlign w:val="bottom"/>
            <w:tcBorders>
              <w:left w:val="single" w:sz="8" w:color="auto"/>
            </w:tcBorders>
          </w:tcPr>
          <w:p>
            <w:pPr>
              <w:ind w:left="80"/>
              <w:spacing w:after="0"/>
              <w:rPr>
                <w:sz w:val="20"/>
                <w:szCs w:val="20"/>
                <w:color w:val="auto"/>
              </w:rPr>
            </w:pPr>
            <w:r>
              <w:rPr>
                <w:rFonts w:ascii="Calibri" w:cs="Calibri" w:eastAsia="Calibri" w:hAnsi="Calibri"/>
                <w:sz w:val="18"/>
                <w:szCs w:val="18"/>
                <w:b w:val="1"/>
                <w:bCs w:val="1"/>
                <w:color w:val="auto"/>
              </w:rPr>
              <w:t>Title</w:t>
            </w:r>
          </w:p>
        </w:tc>
        <w:tc>
          <w:tcPr>
            <w:tcW w:w="9100" w:type="dxa"/>
            <w:vAlign w:val="bottom"/>
            <w:tcBorders>
              <w:right w:val="single" w:sz="8" w:color="auto"/>
            </w:tcBorders>
          </w:tcPr>
          <w:p>
            <w:pPr>
              <w:ind w:left="480"/>
              <w:spacing w:after="0"/>
              <w:rPr>
                <w:sz w:val="20"/>
                <w:szCs w:val="20"/>
                <w:color w:val="auto"/>
              </w:rPr>
            </w:pPr>
            <w:r>
              <w:rPr>
                <w:rFonts w:ascii="Calibri" w:cs="Calibri" w:eastAsia="Calibri" w:hAnsi="Calibri"/>
                <w:sz w:val="18"/>
                <w:szCs w:val="18"/>
                <w:color w:val="auto"/>
              </w:rPr>
              <w:t>Insider Trading Policy</w:t>
            </w:r>
          </w:p>
        </w:tc>
      </w:tr>
      <w:tr>
        <w:trPr>
          <w:trHeight w:val="280"/>
        </w:trPr>
        <w:tc>
          <w:tcPr>
            <w:tcW w:w="2120" w:type="dxa"/>
            <w:vAlign w:val="bottom"/>
            <w:tcBorders>
              <w:left w:val="single" w:sz="8" w:color="auto"/>
            </w:tcBorders>
          </w:tcPr>
          <w:p>
            <w:pPr>
              <w:ind w:left="80"/>
              <w:spacing w:after="0"/>
              <w:rPr>
                <w:sz w:val="20"/>
                <w:szCs w:val="20"/>
                <w:color w:val="auto"/>
              </w:rPr>
            </w:pPr>
            <w:r>
              <w:rPr>
                <w:rFonts w:ascii="Calibri" w:cs="Calibri" w:eastAsia="Calibri" w:hAnsi="Calibri"/>
                <w:sz w:val="18"/>
                <w:szCs w:val="18"/>
                <w:b w:val="1"/>
                <w:bCs w:val="1"/>
                <w:color w:val="auto"/>
              </w:rPr>
              <w:t>Implementaton Date</w:t>
            </w:r>
          </w:p>
        </w:tc>
        <w:tc>
          <w:tcPr>
            <w:tcW w:w="9100" w:type="dxa"/>
            <w:vAlign w:val="bottom"/>
            <w:tcBorders>
              <w:right w:val="single" w:sz="8" w:color="auto"/>
            </w:tcBorders>
          </w:tcPr>
          <w:p>
            <w:pPr>
              <w:ind w:left="480"/>
              <w:spacing w:after="0"/>
              <w:rPr>
                <w:sz w:val="20"/>
                <w:szCs w:val="20"/>
                <w:color w:val="auto"/>
              </w:rPr>
            </w:pPr>
            <w:r>
              <w:rPr>
                <w:rFonts w:ascii="Calibri" w:cs="Calibri" w:eastAsia="Calibri" w:hAnsi="Calibri"/>
                <w:sz w:val="18"/>
                <w:szCs w:val="18"/>
                <w:color w:val="auto"/>
              </w:rPr>
              <w:t>June 2001</w:t>
            </w:r>
          </w:p>
        </w:tc>
      </w:tr>
      <w:tr>
        <w:trPr>
          <w:trHeight w:val="267"/>
        </w:trPr>
        <w:tc>
          <w:tcPr>
            <w:tcW w:w="2120" w:type="dxa"/>
            <w:vAlign w:val="bottom"/>
            <w:tcBorders>
              <w:left w:val="single" w:sz="8" w:color="auto"/>
            </w:tcBorders>
          </w:tcPr>
          <w:p>
            <w:pPr>
              <w:ind w:left="80"/>
              <w:spacing w:after="0"/>
              <w:rPr>
                <w:sz w:val="20"/>
                <w:szCs w:val="20"/>
                <w:color w:val="auto"/>
              </w:rPr>
            </w:pPr>
            <w:r>
              <w:rPr>
                <w:rFonts w:ascii="Calibri" w:cs="Calibri" w:eastAsia="Calibri" w:hAnsi="Calibri"/>
                <w:sz w:val="18"/>
                <w:szCs w:val="18"/>
                <w:b w:val="1"/>
                <w:bCs w:val="1"/>
                <w:color w:val="auto"/>
              </w:rPr>
              <w:t>Updated</w:t>
            </w:r>
          </w:p>
        </w:tc>
        <w:tc>
          <w:tcPr>
            <w:tcW w:w="9100" w:type="dxa"/>
            <w:vAlign w:val="bottom"/>
            <w:tcBorders>
              <w:right w:val="single" w:sz="8" w:color="auto"/>
            </w:tcBorders>
          </w:tcPr>
          <w:p>
            <w:pPr>
              <w:ind w:left="480"/>
              <w:spacing w:after="0"/>
              <w:rPr>
                <w:sz w:val="20"/>
                <w:szCs w:val="20"/>
                <w:color w:val="auto"/>
              </w:rPr>
            </w:pPr>
            <w:r>
              <w:rPr>
                <w:rFonts w:ascii="Calibri" w:cs="Calibri" w:eastAsia="Calibri" w:hAnsi="Calibri"/>
                <w:sz w:val="18"/>
                <w:szCs w:val="18"/>
                <w:color w:val="auto"/>
              </w:rPr>
              <w:t>June 2018, January 2019, November 2021, March 2023</w:t>
            </w:r>
          </w:p>
        </w:tc>
      </w:tr>
      <w:tr>
        <w:trPr>
          <w:trHeight w:val="29"/>
        </w:trPr>
        <w:tc>
          <w:tcPr>
            <w:tcW w:w="2120" w:type="dxa"/>
            <w:vAlign w:val="bottom"/>
            <w:tcBorders>
              <w:left w:val="single" w:sz="8" w:color="auto"/>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Statement of Policy</w:t>
      </w:r>
    </w:p>
    <w:p>
      <w:pPr>
        <w:spacing w:after="0" w:line="128" w:lineRule="exact"/>
        <w:rPr>
          <w:sz w:val="20"/>
          <w:szCs w:val="20"/>
          <w:color w:val="auto"/>
        </w:rPr>
      </w:pPr>
    </w:p>
    <w:p>
      <w:pPr>
        <w:jc w:val="both"/>
        <w:ind w:right="40"/>
        <w:spacing w:after="0" w:line="237" w:lineRule="auto"/>
        <w:rPr>
          <w:sz w:val="20"/>
          <w:szCs w:val="20"/>
          <w:color w:val="auto"/>
        </w:rPr>
      </w:pPr>
      <w:r>
        <w:rPr>
          <w:rFonts w:ascii="Calibri" w:cs="Calibri" w:eastAsia="Calibri" w:hAnsi="Calibri"/>
          <w:sz w:val="18"/>
          <w:szCs w:val="18"/>
          <w:color w:val="auto"/>
        </w:rPr>
        <w:t>This Insider Trading Policy (“Policy”) shall apply to all directors, ofcers and employees (each a “Covered Person” and collectvely “Covered Persons”) of Labcorp Holdings Inc., its subsidiaries and afliates including both the Labcorp Diagnostcs and Labcorp Biopharma Laboratory Services operatng segments and as such operatng segments may be defned from tme to tme (collectvely “Labcorp” or the “Company”).</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Purpose</w:t>
      </w:r>
    </w:p>
    <w:p>
      <w:pPr>
        <w:spacing w:after="0" w:line="128" w:lineRule="exact"/>
        <w:rPr>
          <w:sz w:val="20"/>
          <w:szCs w:val="20"/>
          <w:color w:val="auto"/>
        </w:rPr>
      </w:pPr>
    </w:p>
    <w:p>
      <w:pPr>
        <w:ind w:right="160"/>
        <w:spacing w:after="0" w:line="223" w:lineRule="auto"/>
        <w:rPr>
          <w:sz w:val="20"/>
          <w:szCs w:val="20"/>
          <w:color w:val="auto"/>
        </w:rPr>
      </w:pPr>
      <w:r>
        <w:rPr>
          <w:rFonts w:ascii="Calibri" w:cs="Calibri" w:eastAsia="Calibri" w:hAnsi="Calibri"/>
          <w:sz w:val="18"/>
          <w:szCs w:val="18"/>
          <w:color w:val="auto"/>
        </w:rPr>
        <w:t>The Securites Act of 1933, as amended, the Securites Exchange Act of 1934, as amended (the “Exchange Act”), and the regulatons adopted by the Securites and Exchange Commission (“SEC”) all make it illegal for an individual to buy or sell securites while in the possession of “inside informaton” (i.e., material, nonpublic informaton (as further described below)). The SEC takes insider trading very seriously and devotes signifcant resources to uncovering the actvity and to prosecutng ofenders. Liability extends not only to individuals who trade on “inside informaton,” but also to their “tppers,” to a company for transactons by its personnel and even possibly to other “controlling persons” for violatons by company personnel.</w:t>
      </w:r>
    </w:p>
    <w:p>
      <w:pPr>
        <w:spacing w:after="0" w:line="140" w:lineRule="exact"/>
        <w:rPr>
          <w:sz w:val="20"/>
          <w:szCs w:val="20"/>
          <w:color w:val="auto"/>
        </w:rPr>
      </w:pPr>
    </w:p>
    <w:p>
      <w:pPr>
        <w:jc w:val="both"/>
        <w:ind w:right="60"/>
        <w:spacing w:after="0" w:line="227" w:lineRule="auto"/>
        <w:rPr>
          <w:sz w:val="20"/>
          <w:szCs w:val="20"/>
          <w:color w:val="auto"/>
        </w:rPr>
      </w:pPr>
      <w:r>
        <w:rPr>
          <w:rFonts w:ascii="Calibri" w:cs="Calibri" w:eastAsia="Calibri" w:hAnsi="Calibri"/>
          <w:sz w:val="18"/>
          <w:szCs w:val="18"/>
          <w:color w:val="auto"/>
        </w:rPr>
        <w:t>In additon to responding to the statutes and regulatons, the Company is adoptng this Policy to avoid even the appearance of improper conduct on the part of anyone employed by or associated with the Company (not just so-called insiders). Labcorp has a longstanding reputaton for integrity and ethical conduct, and compliance with this Policy and the SEC regulatons is key to maintaining integrity at Labcorp.</w:t>
      </w:r>
    </w:p>
    <w:p>
      <w:pPr>
        <w:spacing w:after="0" w:line="129" w:lineRule="exact"/>
        <w:rPr>
          <w:sz w:val="20"/>
          <w:szCs w:val="20"/>
          <w:color w:val="auto"/>
        </w:rPr>
      </w:pPr>
    </w:p>
    <w:p>
      <w:pPr>
        <w:spacing w:after="0"/>
        <w:rPr>
          <w:sz w:val="20"/>
          <w:szCs w:val="20"/>
          <w:color w:val="auto"/>
        </w:rPr>
      </w:pPr>
      <w:r>
        <w:rPr>
          <w:rFonts w:ascii="Calibri" w:cs="Calibri" w:eastAsia="Calibri" w:hAnsi="Calibri"/>
          <w:sz w:val="18"/>
          <w:szCs w:val="18"/>
          <w:color w:val="auto"/>
        </w:rPr>
        <w:t>This Policy has been developed:</w:t>
      </w:r>
    </w:p>
    <w:p>
      <w:pPr>
        <w:spacing w:after="0" w:line="127" w:lineRule="exact"/>
        <w:rPr>
          <w:sz w:val="20"/>
          <w:szCs w:val="20"/>
          <w:color w:val="auto"/>
        </w:rPr>
      </w:pPr>
    </w:p>
    <w:p>
      <w:pPr>
        <w:ind w:left="640" w:hanging="313"/>
        <w:spacing w:after="0"/>
        <w:tabs>
          <w:tab w:leader="none" w:pos="64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to educate the Company’s personnel;</w:t>
      </w:r>
    </w:p>
    <w:p>
      <w:pPr>
        <w:ind w:left="640" w:hanging="313"/>
        <w:spacing w:after="0" w:line="218" w:lineRule="auto"/>
        <w:tabs>
          <w:tab w:leader="none" w:pos="64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to set forth guidelines for courses of acton;</w:t>
      </w:r>
    </w:p>
    <w:p>
      <w:pPr>
        <w:ind w:left="640" w:hanging="313"/>
        <w:spacing w:after="0" w:line="218" w:lineRule="auto"/>
        <w:tabs>
          <w:tab w:leader="none" w:pos="64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to protect the Company and each of its personnel against legal liability; and</w:t>
      </w:r>
    </w:p>
    <w:p>
      <w:pPr>
        <w:ind w:left="640" w:hanging="313"/>
        <w:spacing w:after="0" w:line="233" w:lineRule="auto"/>
        <w:tabs>
          <w:tab w:leader="none" w:pos="64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to preserve the reputaton of the Company and its personnel for integrity and ethical conduct.</w:t>
      </w:r>
    </w:p>
    <w:p>
      <w:pPr>
        <w:spacing w:after="0" w:line="24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808080"/>
        </w:rPr>
        <w:t>This document is electronically controlled. Check all hardcopies against the current electronic version within MCQS prior to use. The information in this document contains proprietary information of Labcorp Holdings Inc. and is supplied in confidence to the recipient. Neither this document nor any of the information contained therein shall (in part or in whole) be published, reproduced, distributed, disclosed, adapted, used (in each case, in any form by any means) or otherwise made available or accessible in any form or by any means to any other person for any purpose without the express prior written consent of Labcorp Holdings Inc.</w:t>
      </w:r>
    </w:p>
    <w:p>
      <w:pPr>
        <w:sectPr>
          <w:pgSz w:w="11900" w:h="16838" w:orient="portrait"/>
          <w:cols w:equalWidth="0" w:num="1">
            <w:col w:w="11240"/>
          </w:cols>
          <w:pgMar w:left="320" w:top="35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395CE9"/>
        </w:rPr>
        <w:t>BPM–16 INSIDER TRADING POLICY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Procedure</w:t>
      </w:r>
    </w:p>
    <w:p>
      <w:pPr>
        <w:spacing w:after="0" w:line="141" w:lineRule="exact"/>
        <w:rPr>
          <w:sz w:val="20"/>
          <w:szCs w:val="20"/>
          <w:color w:val="auto"/>
        </w:rPr>
      </w:pPr>
    </w:p>
    <w:p>
      <w:pPr>
        <w:ind w:right="160"/>
        <w:spacing w:after="0" w:line="224" w:lineRule="auto"/>
        <w:rPr>
          <w:sz w:val="20"/>
          <w:szCs w:val="20"/>
          <w:color w:val="auto"/>
        </w:rPr>
      </w:pPr>
      <w:r>
        <w:rPr>
          <w:rFonts w:ascii="Calibri" w:cs="Calibri" w:eastAsia="Calibri" w:hAnsi="Calibri"/>
          <w:sz w:val="18"/>
          <w:szCs w:val="18"/>
          <w:color w:val="auto"/>
        </w:rPr>
        <w:t>If a Covered Person has material, nonpublic informaton relatng to the Company, it is Labcorp’s policy that neither that Covered Person nor any Family Member of that Covered Person may buy or sell securites of the Company or engage in any other acton to take advantage of, or pass on to others, that informaton. For purposes of this Policy, “Family Member” includes a Covered Person’s family members or persons living within the Covered Person’s household (including a spouse, a child, a child at college, stepchildren, grandchildren, parents, stepparents, grandparents, siblings and in-laws), and any family members who do not live in the Covered Person’s household, but whose transactons in Company securites are directed by the Covered Person or are subject to the Covered Person’s infuence or control, such as parents or children who consult with the Covered Person before they trade in Company securites.</w:t>
      </w:r>
    </w:p>
    <w:p>
      <w:pPr>
        <w:spacing w:after="0" w:line="139"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This Policy also applies with equal force to informaton relatng to any other company and the securites of those companies, including our customers or suppliers, obtained in the course of employment. No Covered Person nor any Family Member of a Covered Person may use material, nonpublic informaton that was obtained in the course of the Covered Person’s involvement with the Company to buy or sell any securites of any other publicly-traded company. No Covered Person nor any Family Member who knows of any such material, nonpublic informaton may communicate that informaton to, or tp, any other person, including family members and friends, or otherwise disclose such informaton without the Company’s authorizaton.</w:t>
      </w:r>
    </w:p>
    <w:p>
      <w:pPr>
        <w:spacing w:after="0" w:line="136" w:lineRule="exact"/>
        <w:rPr>
          <w:sz w:val="20"/>
          <w:szCs w:val="20"/>
          <w:color w:val="auto"/>
        </w:rPr>
      </w:pPr>
    </w:p>
    <w:p>
      <w:pPr>
        <w:ind w:right="520"/>
        <w:spacing w:after="0" w:line="227" w:lineRule="auto"/>
        <w:rPr>
          <w:sz w:val="20"/>
          <w:szCs w:val="20"/>
          <w:color w:val="auto"/>
        </w:rPr>
      </w:pPr>
      <w:r>
        <w:rPr>
          <w:rFonts w:ascii="Calibri" w:cs="Calibri" w:eastAsia="Calibri" w:hAnsi="Calibri"/>
          <w:sz w:val="18"/>
          <w:szCs w:val="18"/>
          <w:color w:val="auto"/>
        </w:rPr>
        <w:t>Transactons that may be necessary or justfable for independent reasons (such as the need to raise money for an emergency expenditure) are no excepton to this Policy. Even the appearance of an improper transacton must be avoided to preserve the Company’s reputaton for adhering to the highest standards of conduct.</w:t>
      </w:r>
    </w:p>
    <w:p>
      <w:pPr>
        <w:spacing w:after="0" w:line="19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Material Informaton</w:t>
      </w:r>
    </w:p>
    <w:p>
      <w:pPr>
        <w:spacing w:after="0" w:line="136" w:lineRule="exact"/>
        <w:rPr>
          <w:sz w:val="20"/>
          <w:szCs w:val="20"/>
          <w:color w:val="auto"/>
        </w:rPr>
      </w:pPr>
    </w:p>
    <w:p>
      <w:pPr>
        <w:ind w:right="380"/>
        <w:spacing w:after="0" w:line="232" w:lineRule="auto"/>
        <w:rPr>
          <w:sz w:val="20"/>
          <w:szCs w:val="20"/>
          <w:color w:val="auto"/>
        </w:rPr>
      </w:pPr>
      <w:r>
        <w:rPr>
          <w:rFonts w:ascii="Calibri" w:cs="Calibri" w:eastAsia="Calibri" w:hAnsi="Calibri"/>
          <w:sz w:val="18"/>
          <w:szCs w:val="18"/>
          <w:color w:val="auto"/>
        </w:rPr>
        <w:t>Informaton is considered material if a reasonable investor would consider that informaton important in a decision to buy, hold, or sell securites. Any informaton which could reasonably afect the price of the Company’s stock is considered material.</w:t>
      </w:r>
    </w:p>
    <w:p>
      <w:pPr>
        <w:spacing w:after="0" w:line="127" w:lineRule="exact"/>
        <w:rPr>
          <w:sz w:val="20"/>
          <w:szCs w:val="20"/>
          <w:color w:val="auto"/>
        </w:rPr>
      </w:pPr>
    </w:p>
    <w:p>
      <w:pPr>
        <w:spacing w:after="0"/>
        <w:rPr>
          <w:sz w:val="20"/>
          <w:szCs w:val="20"/>
          <w:color w:val="auto"/>
        </w:rPr>
      </w:pPr>
      <w:r>
        <w:rPr>
          <w:rFonts w:ascii="Calibri" w:cs="Calibri" w:eastAsia="Calibri" w:hAnsi="Calibri"/>
          <w:sz w:val="18"/>
          <w:szCs w:val="18"/>
          <w:color w:val="auto"/>
        </w:rPr>
        <w:t>Common examples of informaton that will frequently be regarded as material are:</w:t>
      </w:r>
    </w:p>
    <w:p>
      <w:pPr>
        <w:spacing w:after="0" w:line="127" w:lineRule="exact"/>
        <w:rPr>
          <w:sz w:val="20"/>
          <w:szCs w:val="20"/>
          <w:color w:val="auto"/>
        </w:rPr>
      </w:pPr>
    </w:p>
    <w:p>
      <w:pPr>
        <w:ind w:left="960" w:hanging="313"/>
        <w:spacing w:after="0"/>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fnancial conditon and results of operaton of the Company, including quarterly and annual results;</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projectons of future earnings or losses or any changes to previously announced earnings guidance;</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news of a pending or proposed merger, acquisiton or tender ofer;</w:t>
      </w:r>
    </w:p>
    <w:p>
      <w:pPr>
        <w:ind w:left="960" w:hanging="313"/>
        <w:spacing w:after="0" w:line="233"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an important fnancing transacton;</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changes in dividend policies or the declaraton of a stock split or the ofering of additonal securites;</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changes in management or the board of directors;</w:t>
      </w:r>
    </w:p>
    <w:p>
      <w:pPr>
        <w:ind w:left="960" w:hanging="313"/>
        <w:spacing w:after="0" w:line="233"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signifcant new test oferings or technology partnerships;</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signifcant new client, insurance or managed care contracts;</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the impending gain or loss of any signifcant technology, managed care or other major agreement;</w:t>
      </w:r>
    </w:p>
    <w:p>
      <w:pPr>
        <w:ind w:left="960" w:hanging="313"/>
        <w:spacing w:after="0" w:line="233"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 gain or loss of a signifcant customer or supplier;</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developments regarding signifcant litgaton or a governmental agency investgaton;</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 signifcant or potentally signifcant cybersecurity incident;</w:t>
      </w:r>
    </w:p>
    <w:p>
      <w:pPr>
        <w:ind w:left="960" w:hanging="313"/>
        <w:spacing w:after="0" w:line="233"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impending bankruptcy or fnancial liquidity problems; and</w:t>
      </w:r>
    </w:p>
    <w:p>
      <w:pPr>
        <w:ind w:left="960" w:hanging="313"/>
        <w:spacing w:after="0" w:line="218" w:lineRule="auto"/>
        <w:tabs>
          <w:tab w:leader="none" w:pos="96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internal fnancial informaton that departs from what the market would expect.</w:t>
      </w:r>
    </w:p>
    <w:p>
      <w:pPr>
        <w:spacing w:after="0" w:line="194" w:lineRule="exact"/>
        <w:rPr>
          <w:sz w:val="20"/>
          <w:szCs w:val="20"/>
          <w:color w:val="auto"/>
        </w:rPr>
      </w:pPr>
    </w:p>
    <w:p>
      <w:pPr>
        <w:spacing w:after="0"/>
        <w:rPr>
          <w:sz w:val="20"/>
          <w:szCs w:val="20"/>
          <w:color w:val="auto"/>
        </w:rPr>
      </w:pPr>
      <w:r>
        <w:rPr>
          <w:rFonts w:ascii="Calibri" w:cs="Calibri" w:eastAsia="Calibri" w:hAnsi="Calibri"/>
          <w:sz w:val="18"/>
          <w:szCs w:val="18"/>
          <w:color w:val="auto"/>
        </w:rPr>
        <w:t>Either positve or negatve informaton may be material. This list is merely illustratve.</w:t>
      </w:r>
    </w:p>
    <w:p>
      <w:pPr>
        <w:spacing w:after="0" w:line="19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When Informaton is Public</w:t>
      </w:r>
    </w:p>
    <w:p>
      <w:pPr>
        <w:spacing w:after="0" w:line="136"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color w:val="auto"/>
        </w:rPr>
        <w:t>Informaton that has not been disclosed to the public is generally considered to be nonpublic informaton. In order to establish that the informaton has been disclosed to the public, it may be necessary to demonstrate that the informaton has been widely disseminated. Informaton generally would be considered widely disseminated if it has been disclosed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00"/>
          </w:cols>
          <w:pgMar w:left="640" w:top="427"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395CE9"/>
        </w:rPr>
        <w:t>BPM–16 INSIDER TRADING POLICY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0"/>
        <w:spacing w:after="0" w:line="223" w:lineRule="auto"/>
        <w:rPr>
          <w:sz w:val="20"/>
          <w:szCs w:val="20"/>
          <w:color w:val="auto"/>
        </w:rPr>
      </w:pPr>
      <w:r>
        <w:rPr>
          <w:rFonts w:ascii="Calibri" w:cs="Calibri" w:eastAsia="Calibri" w:hAnsi="Calibri"/>
          <w:sz w:val="18"/>
          <w:szCs w:val="18"/>
          <w:color w:val="auto"/>
        </w:rPr>
        <w:t>through a press release, a broadcast on widely-available radio or television programs, publicaton in a widely-available newspaper, magazine or news website, a Dow Jones “broad tape,” newswire services, or public disclosure documents fled with the SEC that are available on the SEC’s website (such as Form 8-K, Form 10-Q and Form 10-K). By contrast, informaton would likely not be considered widely disseminated if it is available only to the Company’s employees, or if it is only available to a select group of persons, such as analysts, brokers and insttutonal investors. In additon, please be aware that disclosure on the Company’s website or social media channel, by itself, may not be considered wide disseminaton.</w:t>
      </w:r>
    </w:p>
    <w:p>
      <w:pPr>
        <w:spacing w:after="0" w:line="140" w:lineRule="exact"/>
        <w:rPr>
          <w:sz w:val="20"/>
          <w:szCs w:val="20"/>
          <w:color w:val="auto"/>
        </w:rPr>
      </w:pPr>
    </w:p>
    <w:p>
      <w:pPr>
        <w:ind w:right="60"/>
        <w:spacing w:after="0" w:line="224" w:lineRule="auto"/>
        <w:rPr>
          <w:sz w:val="20"/>
          <w:szCs w:val="20"/>
          <w:color w:val="auto"/>
        </w:rPr>
      </w:pPr>
      <w:r>
        <w:rPr>
          <w:rFonts w:ascii="Calibri" w:cs="Calibri" w:eastAsia="Calibri" w:hAnsi="Calibri"/>
          <w:sz w:val="18"/>
          <w:szCs w:val="18"/>
          <w:color w:val="auto"/>
        </w:rPr>
        <w:t xml:space="preserve">As you can appreciate, it is also improper for a Covered Person to enter a trade immediately afer the Company has made a public announcement of material informaton, including earnings releases. Because the Company’s shareholders and the investng public should be aforded the tme to receive the informaton and fully absorb it, as a general rule you shall not engage in any transactons untl </w:t>
      </w:r>
      <w:r>
        <w:rPr>
          <w:rFonts w:ascii="Calibri" w:cs="Calibri" w:eastAsia="Calibri" w:hAnsi="Calibri"/>
          <w:sz w:val="18"/>
          <w:szCs w:val="18"/>
          <w:b w:val="1"/>
          <w:bCs w:val="1"/>
          <w:color w:val="auto"/>
        </w:rPr>
        <w:t>two full business days afer the informaton has been</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released</w:t>
      </w:r>
      <w:r>
        <w:rPr>
          <w:rFonts w:ascii="Calibri" w:cs="Calibri" w:eastAsia="Calibri" w:hAnsi="Calibri"/>
          <w:sz w:val="18"/>
          <w:szCs w:val="18"/>
          <w:color w:val="auto"/>
        </w:rPr>
        <w:t>. (Thus, if a material announcement is made on a Monday before the market opens, Wednesday generally would be the frst day on which you</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could trade. If an announcement is made on a Friday before the market opens, Tuesday generally would be the frst day.) However, if the informaton released is complex, such as a prospectve major fnancing or other transacton, it may be determined that additonal tme should be allowed for the informaton to be digested by investors. In such circumstances, the Securites Compliance Ofcer will communicate the additonal waitng period. Remember, if you are in possession of material, nonpublic informaton that was not part of the informaton released, you may not engage in any transactons.</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Transactons by Family Members and Enttes That You Control</w:t>
      </w:r>
    </w:p>
    <w:p>
      <w:pPr>
        <w:spacing w:after="0" w:line="136" w:lineRule="exact"/>
        <w:rPr>
          <w:sz w:val="20"/>
          <w:szCs w:val="20"/>
          <w:color w:val="auto"/>
        </w:rPr>
      </w:pPr>
    </w:p>
    <w:p>
      <w:pPr>
        <w:ind w:right="60"/>
        <w:spacing w:after="0" w:line="225" w:lineRule="auto"/>
        <w:rPr>
          <w:sz w:val="20"/>
          <w:szCs w:val="20"/>
          <w:color w:val="auto"/>
        </w:rPr>
      </w:pPr>
      <w:r>
        <w:rPr>
          <w:rFonts w:ascii="Calibri" w:cs="Calibri" w:eastAsia="Calibri" w:hAnsi="Calibri"/>
          <w:sz w:val="18"/>
          <w:szCs w:val="18"/>
          <w:color w:val="auto"/>
        </w:rPr>
        <w:t>Covered Persons may not disclose material, nonpublic informaton to Family Members or make recommendatons or express opinions to Family Members on the basis of material, nonpublic informaton with regard to trading securites. You are responsible for the transactons of these other persons and therefore should make them aware of the need to confer with you before they trade in Company Securites, and you should treat all such transactons for the purposes of this Policy and applicable securites laws as if the transactons were for your own account. This Policy does not, however, apply to personal securites transactons of Family Members where the purchase or sale decision is made by a third party not controlled by, infuenced by, or related to you or your Family Members.</w:t>
      </w:r>
    </w:p>
    <w:p>
      <w:pPr>
        <w:spacing w:after="0" w:line="138" w:lineRule="exact"/>
        <w:rPr>
          <w:sz w:val="20"/>
          <w:szCs w:val="20"/>
          <w:color w:val="auto"/>
        </w:rPr>
      </w:pPr>
    </w:p>
    <w:p>
      <w:pPr>
        <w:ind w:right="60"/>
        <w:spacing w:after="0" w:line="222" w:lineRule="auto"/>
        <w:rPr>
          <w:sz w:val="20"/>
          <w:szCs w:val="20"/>
          <w:color w:val="auto"/>
        </w:rPr>
      </w:pPr>
      <w:r>
        <w:rPr>
          <w:rFonts w:ascii="Calibri" w:cs="Calibri" w:eastAsia="Calibri" w:hAnsi="Calibri"/>
          <w:sz w:val="18"/>
          <w:szCs w:val="18"/>
          <w:color w:val="auto"/>
        </w:rPr>
        <w:t>This Policy applies to any enttes that a Covered Person infuences or controls, including any corporatons, partnerships or trusts (collectvely referred to as “Controlled Enttes”), and transactons by these Controlled Enttes should be treated for the purposes of this Policy and applicable securites laws as if they were for your own account.</w:t>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Transactons Not Subject to the Policy</w:t>
      </w:r>
    </w:p>
    <w:p>
      <w:pPr>
        <w:spacing w:after="0" w:line="122" w:lineRule="exact"/>
        <w:rPr>
          <w:sz w:val="20"/>
          <w:szCs w:val="20"/>
          <w:color w:val="auto"/>
        </w:rPr>
      </w:pPr>
    </w:p>
    <w:p>
      <w:pPr>
        <w:ind w:left="960" w:hanging="313"/>
        <w:spacing w:after="0" w:line="238" w:lineRule="auto"/>
        <w:tabs>
          <w:tab w:leader="none" w:pos="947" w:val="left"/>
        </w:tabs>
        <w:numPr>
          <w:ilvl w:val="0"/>
          <w:numId w:val="54"/>
        </w:numPr>
        <w:rPr>
          <w:rFonts w:ascii="Calibri" w:cs="Calibri" w:eastAsia="Calibri" w:hAnsi="Calibri"/>
          <w:sz w:val="17"/>
          <w:szCs w:val="17"/>
          <w:b w:val="1"/>
          <w:bCs w:val="1"/>
          <w:color w:val="auto"/>
        </w:rPr>
      </w:pPr>
      <w:r>
        <w:rPr>
          <w:rFonts w:ascii="Calibri" w:cs="Calibri" w:eastAsia="Calibri" w:hAnsi="Calibri"/>
          <w:sz w:val="17"/>
          <w:szCs w:val="17"/>
          <w:b w:val="1"/>
          <w:bCs w:val="1"/>
          <w:u w:val="single" w:color="auto"/>
          <w:color w:val="auto"/>
        </w:rPr>
        <w:t>Company-Sponsored Plans.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Certain transactons under Company-sponsored plans, such as exercises of stock optons, vestng of previously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granted awards, and withholding of shares by the Company to satsfy opton exercise price or tax liability, are not transactons that are subject to this Policy. Similarly, automatc purchases of Company securites in the Employee Stock Purchase Plan that are the result of periodic contributons pursuant to payroll deducton electons are not transactons that are subject to this Policy. However, any sale of stock received pursuant to an exercise of a stock opton, vestng of a previously-granted award, or through the Company’s Employee Stock Purchase Plan, is subject to the restrictons in this Policy. There are other transactons under these types of plans that may be subject to this Policy, including electons to partcipate, changing the level of partcipaton and moving in or out of the Company stock fund. Accordingly, please contact Labcorp’s Securites Compliance Ofcer if you have any doubt as to whether a planned transacton implicates this Policy.</w:t>
      </w:r>
    </w:p>
    <w:p>
      <w:pPr>
        <w:spacing w:after="0" w:line="6" w:lineRule="exact"/>
        <w:rPr>
          <w:rFonts w:ascii="Calibri" w:cs="Calibri" w:eastAsia="Calibri" w:hAnsi="Calibri"/>
          <w:sz w:val="17"/>
          <w:szCs w:val="17"/>
          <w:b w:val="1"/>
          <w:bCs w:val="1"/>
          <w:color w:val="auto"/>
        </w:rPr>
      </w:pPr>
    </w:p>
    <w:p>
      <w:pPr>
        <w:ind w:left="960" w:right="20" w:hanging="313"/>
        <w:spacing w:after="0" w:line="222" w:lineRule="auto"/>
        <w:tabs>
          <w:tab w:leader="none" w:pos="947" w:val="left"/>
        </w:tabs>
        <w:numPr>
          <w:ilvl w:val="0"/>
          <w:numId w:val="54"/>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Gifs.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Gifs to persons or enttes not covered by this Policy, including charitable gifs, are not permited while the Covered Person is aware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material non-public informaton or while the Covered Person is subject to trading restrictons under this Policy. All Key Persons must pre-clear any gif transactons with the Securites Compliance Ofcer. Please also note that a gif donee may be covered by this Policy as described in “Transactons by Family Members and Enttes That You Control” above.</w:t>
      </w:r>
    </w:p>
    <w:p>
      <w:pPr>
        <w:ind w:left="960" w:right="260" w:hanging="313"/>
        <w:spacing w:after="0" w:line="225" w:lineRule="auto"/>
        <w:tabs>
          <w:tab w:leader="none" w:pos="947" w:val="left"/>
        </w:tabs>
        <w:numPr>
          <w:ilvl w:val="0"/>
          <w:numId w:val="54"/>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Mutual Funds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Transactons in widely traded mutual and exchange traded funds that are invested in Company securites are not subject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this Policy.</w:t>
      </w:r>
    </w:p>
    <w:p>
      <w:pPr>
        <w:spacing w:after="0" w:line="1" w:lineRule="exact"/>
        <w:rPr>
          <w:rFonts w:ascii="Calibri" w:cs="Calibri" w:eastAsia="Calibri" w:hAnsi="Calibri"/>
          <w:sz w:val="18"/>
          <w:szCs w:val="18"/>
          <w:b w:val="1"/>
          <w:bCs w:val="1"/>
          <w:color w:val="auto"/>
        </w:rPr>
      </w:pPr>
    </w:p>
    <w:p>
      <w:pPr>
        <w:ind w:left="960" w:right="360" w:hanging="313"/>
        <w:spacing w:after="0" w:line="223" w:lineRule="auto"/>
        <w:tabs>
          <w:tab w:leader="none" w:pos="947" w:val="left"/>
        </w:tabs>
        <w:numPr>
          <w:ilvl w:val="0"/>
          <w:numId w:val="54"/>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Dividend Reinvestment Plan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This Policy does not apply to purchases of Company securites under any dividend reinvestment plan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maintained by the Company or broker sponsored dividend reinvestment plans (including plans maintained by the Company’s equity plan provider), but it does apply to Covered Persons’ electons to partcipate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20"/>
          </w:cols>
          <w:pgMar w:left="640" w:top="427"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395CE9"/>
        </w:rPr>
        <w:t>BPM–16 INSIDER TRADING POLICY</w:t>
      </w:r>
    </w:p>
    <w:p>
      <w:pPr>
        <w:spacing w:after="0" w:line="200" w:lineRule="exact"/>
        <w:rPr>
          <w:sz w:val="20"/>
          <w:szCs w:val="20"/>
          <w:color w:val="auto"/>
        </w:rPr>
      </w:pPr>
    </w:p>
    <w:p>
      <w:pPr>
        <w:spacing w:after="0" w:line="258" w:lineRule="exact"/>
        <w:rPr>
          <w:sz w:val="20"/>
          <w:szCs w:val="20"/>
          <w:color w:val="auto"/>
        </w:rPr>
      </w:pPr>
    </w:p>
    <w:p>
      <w:pPr>
        <w:jc w:val="both"/>
        <w:ind w:left="960" w:right="80"/>
        <w:spacing w:after="0" w:line="241" w:lineRule="auto"/>
        <w:rPr>
          <w:sz w:val="20"/>
          <w:szCs w:val="20"/>
          <w:color w:val="auto"/>
        </w:rPr>
      </w:pPr>
      <w:r>
        <w:rPr>
          <w:rFonts w:ascii="Calibri" w:cs="Calibri" w:eastAsia="Calibri" w:hAnsi="Calibri"/>
          <w:sz w:val="17"/>
          <w:szCs w:val="17"/>
          <w:color w:val="auto"/>
        </w:rPr>
        <w:t>in such plans or to increase such Covered Person’s level of partcipaton in such plans. All Key Persons must clear their partcipaton in such a plan with the Securites Compliance Ofcer. This Policy also applies to a Covered Person’s sale of any Company securites purchased pursuant to such a plan or arrangement, and all Key Persons must pre-clear any such transactons with the Securites Compliance Ofcer.</w:t>
      </w:r>
    </w:p>
    <w:p>
      <w:pPr>
        <w:spacing w:after="0" w:line="19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Additonal Prohibited Transactons</w:t>
      </w:r>
    </w:p>
    <w:p>
      <w:pPr>
        <w:spacing w:after="0" w:line="127" w:lineRule="exact"/>
        <w:rPr>
          <w:sz w:val="20"/>
          <w:szCs w:val="20"/>
          <w:color w:val="auto"/>
        </w:rPr>
      </w:pPr>
    </w:p>
    <w:p>
      <w:pPr>
        <w:spacing w:after="0"/>
        <w:rPr>
          <w:sz w:val="20"/>
          <w:szCs w:val="20"/>
          <w:color w:val="auto"/>
        </w:rPr>
      </w:pPr>
      <w:r>
        <w:rPr>
          <w:rFonts w:ascii="Calibri" w:cs="Calibri" w:eastAsia="Calibri" w:hAnsi="Calibri"/>
          <w:sz w:val="18"/>
          <w:szCs w:val="18"/>
          <w:color w:val="auto"/>
        </w:rPr>
        <w:t>It is the Company’s policy that Covered Persons shall not engage in any of the following actvites with respect to securites of the Company:</w:t>
      </w:r>
    </w:p>
    <w:p>
      <w:pPr>
        <w:spacing w:after="0" w:line="136" w:lineRule="exact"/>
        <w:rPr>
          <w:sz w:val="20"/>
          <w:szCs w:val="20"/>
          <w:color w:val="auto"/>
        </w:rPr>
      </w:pPr>
    </w:p>
    <w:p>
      <w:pPr>
        <w:ind w:left="960" w:right="100" w:hanging="313"/>
        <w:spacing w:after="0" w:line="223" w:lineRule="auto"/>
        <w:tabs>
          <w:tab w:leader="none" w:pos="945"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Trading in securites on a short-term basis. Any Company stock purchased in the open market must be held for a minimum of six months and ideally longer. Note that the SEC’ s short-swing proft rule already prevents directors and ofcers from selling any Company stock within six months of a purchase. This rule is being extended to all Covered Persons under this Policy. However, the rule does not apply to shares purchased under a qualifying plan, i.e., ESPP, stock opton exercises, except that directors and ofcers must always hold stock for a minimum of six months afer the date of the opton grant unless an exempton applies.</w:t>
      </w:r>
    </w:p>
    <w:p>
      <w:pPr>
        <w:spacing w:after="0" w:line="4" w:lineRule="exact"/>
        <w:rPr>
          <w:rFonts w:ascii="Calibri" w:cs="Calibri" w:eastAsia="Calibri" w:hAnsi="Calibri"/>
          <w:sz w:val="18"/>
          <w:szCs w:val="18"/>
          <w:color w:val="auto"/>
        </w:rPr>
      </w:pPr>
    </w:p>
    <w:p>
      <w:pPr>
        <w:ind w:left="960" w:hanging="313"/>
        <w:spacing w:after="0" w:line="233" w:lineRule="auto"/>
        <w:tabs>
          <w:tab w:leader="none" w:pos="96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Purchases of Company stock on margin.</w:t>
      </w:r>
    </w:p>
    <w:p>
      <w:pPr>
        <w:ind w:left="960" w:right="560" w:hanging="313"/>
        <w:spacing w:after="0" w:line="218" w:lineRule="auto"/>
        <w:tabs>
          <w:tab w:leader="none" w:pos="945"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Any pledge of Company Stock, or holding Company Stock in a marginable account and/or in any account other than a cash account, or pledging Company stock as collateral for a loan.</w:t>
      </w:r>
    </w:p>
    <w:p>
      <w:pPr>
        <w:spacing w:after="0" w:line="1" w:lineRule="exact"/>
        <w:rPr>
          <w:rFonts w:ascii="Calibri" w:cs="Calibri" w:eastAsia="Calibri" w:hAnsi="Calibri"/>
          <w:sz w:val="18"/>
          <w:szCs w:val="18"/>
          <w:color w:val="auto"/>
        </w:rPr>
      </w:pPr>
    </w:p>
    <w:p>
      <w:pPr>
        <w:ind w:left="960" w:hanging="313"/>
        <w:spacing w:after="0" w:line="233" w:lineRule="auto"/>
        <w:tabs>
          <w:tab w:leader="none" w:pos="96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Short sales.</w:t>
      </w:r>
    </w:p>
    <w:p>
      <w:pPr>
        <w:ind w:left="960" w:hanging="313"/>
        <w:spacing w:after="0" w:line="218" w:lineRule="auto"/>
        <w:tabs>
          <w:tab w:leader="none" w:pos="96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Buying or selling puts, calls, or other derivatve securites.</w:t>
      </w:r>
    </w:p>
    <w:p>
      <w:pPr>
        <w:ind w:left="960" w:hanging="313"/>
        <w:spacing w:after="0" w:line="218" w:lineRule="auto"/>
        <w:tabs>
          <w:tab w:leader="none" w:pos="96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Other forms of hedging transactons, such as prepaid variable forwards, equity swaps, collars, and exchange funds.</w:t>
      </w:r>
    </w:p>
    <w:p>
      <w:pPr>
        <w:spacing w:after="0" w:line="2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Tipping Informaton to Others</w:t>
      </w:r>
    </w:p>
    <w:p>
      <w:pPr>
        <w:spacing w:after="0" w:line="136" w:lineRule="exact"/>
        <w:rPr>
          <w:sz w:val="20"/>
          <w:szCs w:val="20"/>
          <w:color w:val="auto"/>
        </w:rPr>
      </w:pPr>
    </w:p>
    <w:p>
      <w:pPr>
        <w:jc w:val="both"/>
        <w:ind w:right="160"/>
        <w:spacing w:after="0" w:line="222" w:lineRule="auto"/>
        <w:rPr>
          <w:sz w:val="20"/>
          <w:szCs w:val="20"/>
          <w:color w:val="auto"/>
        </w:rPr>
      </w:pPr>
      <w:r>
        <w:rPr>
          <w:rFonts w:ascii="Calibri" w:cs="Calibri" w:eastAsia="Calibri" w:hAnsi="Calibri"/>
          <w:sz w:val="18"/>
          <w:szCs w:val="18"/>
          <w:color w:val="auto"/>
        </w:rPr>
        <w:t>Whether the informaton is proprietary informaton about the Company or informaton that could have an impact on its stock price, Covered Persons and Family Members must not provide material, nonpublic informaton to others. “Inside informaton” is ofen inadvertently disclosed or overheard in casual, social conversatons. Care must be taken to avoid such disclosures. See “Confdentality” below for more informaton.</w:t>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Preventon of Insider Trading by Others</w:t>
      </w:r>
    </w:p>
    <w:p>
      <w:pPr>
        <w:spacing w:after="0" w:line="136" w:lineRule="exact"/>
        <w:rPr>
          <w:sz w:val="20"/>
          <w:szCs w:val="20"/>
          <w:color w:val="auto"/>
        </w:rPr>
      </w:pPr>
    </w:p>
    <w:p>
      <w:pPr>
        <w:spacing w:after="0" w:line="224" w:lineRule="auto"/>
        <w:rPr>
          <w:sz w:val="20"/>
          <w:szCs w:val="20"/>
          <w:color w:val="auto"/>
        </w:rPr>
      </w:pPr>
      <w:r>
        <w:rPr>
          <w:rFonts w:ascii="Calibri" w:cs="Calibri" w:eastAsia="Calibri" w:hAnsi="Calibri"/>
          <w:sz w:val="18"/>
          <w:szCs w:val="18"/>
          <w:color w:val="auto"/>
        </w:rPr>
        <w:t>If you become aware of a potental insider trading violaton, you shall immediately advise the Securites Compliance Ofcer. You shall also take steps, where appropriate, to prevent persons under your control from using inside informaton for trading purposes.</w:t>
      </w:r>
    </w:p>
    <w:p>
      <w:pPr>
        <w:spacing w:after="0" w:line="19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Post-Terminaton Transactons</w:t>
      </w:r>
    </w:p>
    <w:p>
      <w:pPr>
        <w:spacing w:after="0" w:line="136"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color w:val="auto"/>
        </w:rPr>
        <w:t>This policy contnues to apply even afer the terminaton of employment or other service with the Company. If an individual is in possession of material, nonpublic informaton when such individual’s service terminates, that individual may not trade in the securites of the public company to which such informaton relates untl that informaton has become public or is no longer material.</w:t>
      </w:r>
    </w:p>
    <w:p>
      <w:pPr>
        <w:spacing w:after="0" w:line="19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Twenty-Twenty Hindsight</w:t>
      </w:r>
    </w:p>
    <w:p>
      <w:pPr>
        <w:spacing w:after="0" w:line="136" w:lineRule="exact"/>
        <w:rPr>
          <w:sz w:val="20"/>
          <w:szCs w:val="20"/>
          <w:color w:val="auto"/>
        </w:rPr>
      </w:pPr>
    </w:p>
    <w:p>
      <w:pPr>
        <w:ind w:right="360"/>
        <w:spacing w:after="0" w:line="224" w:lineRule="auto"/>
        <w:rPr>
          <w:sz w:val="20"/>
          <w:szCs w:val="20"/>
          <w:color w:val="auto"/>
        </w:rPr>
      </w:pPr>
      <w:r>
        <w:rPr>
          <w:rFonts w:ascii="Calibri" w:cs="Calibri" w:eastAsia="Calibri" w:hAnsi="Calibri"/>
          <w:sz w:val="18"/>
          <w:szCs w:val="18"/>
          <w:color w:val="auto"/>
        </w:rPr>
        <w:t>Remember, if securites transactons become the subject of scrutny, they will be viewed afer-the-fact with the beneft of hindsight. As a result, before engaging in any transacton, carefully consider how regulators and others might view the transacton in hindsight.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20"/>
          </w:cols>
          <w:pgMar w:left="640" w:top="428"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395CE9"/>
        </w:rPr>
        <w:t>BPM–16 INSIDER TRADING POLICY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Confdentality</w:t>
      </w:r>
    </w:p>
    <w:p>
      <w:pPr>
        <w:spacing w:after="0" w:line="136"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 xml:space="preserve">Serious problems could be caused for the Company by unauthorized disclosure of internal informaton about the Company, whether or not for the purpose of facilitatng improper trading in the stock. Company personnel shall not discuss internal Company maters or developments with anyone outside of the Company, except as required in the performance of regular corporate dutes. For additonal informaton on your confdentality obligatons, please refer to the Company’s </w:t>
      </w:r>
      <w:r>
        <w:rPr>
          <w:rFonts w:ascii="Calibri" w:cs="Calibri" w:eastAsia="Calibri" w:hAnsi="Calibri"/>
          <w:sz w:val="18"/>
          <w:szCs w:val="18"/>
          <w:i w:val="1"/>
          <w:iCs w:val="1"/>
          <w:color w:val="auto"/>
        </w:rPr>
        <w:t>Code of Conduct and Ethics</w:t>
      </w:r>
      <w:r>
        <w:rPr>
          <w:rFonts w:ascii="Calibri" w:cs="Calibri" w:eastAsia="Calibri" w:hAnsi="Calibri"/>
          <w:sz w:val="18"/>
          <w:szCs w:val="18"/>
          <w:color w:val="auto"/>
        </w:rPr>
        <w:t>.</w:t>
      </w:r>
    </w:p>
    <w:p>
      <w:pPr>
        <w:spacing w:after="0" w:line="137" w:lineRule="exact"/>
        <w:rPr>
          <w:sz w:val="20"/>
          <w:szCs w:val="20"/>
          <w:color w:val="auto"/>
        </w:rPr>
      </w:pPr>
    </w:p>
    <w:p>
      <w:pPr>
        <w:jc w:val="both"/>
        <w:ind w:right="120"/>
        <w:spacing w:after="0" w:line="225" w:lineRule="auto"/>
        <w:rPr>
          <w:sz w:val="20"/>
          <w:szCs w:val="20"/>
          <w:color w:val="auto"/>
        </w:rPr>
      </w:pPr>
      <w:r>
        <w:rPr>
          <w:rFonts w:ascii="Calibri" w:cs="Calibri" w:eastAsia="Calibri" w:hAnsi="Calibri"/>
          <w:sz w:val="18"/>
          <w:szCs w:val="18"/>
          <w:color w:val="auto"/>
        </w:rPr>
        <w:t>This prohibiton applies specifcally (but not exclusively) to inquiries about the Company that may be made by the fnancial press, investment analysts, or others in the fnancial community. It is important that all such communicatons on behalf of the Company be through an appropriately designated ofcer under carefully controlled circumstances. Unless you are expressly authorized to the contrary, if you receive any inquiries of this nature, decline comment and refer the inquirer to the head of Investor Relatons, or, in his/her absence, to the Securites Compliance Ofcer.</w:t>
      </w:r>
    </w:p>
    <w:p>
      <w:pPr>
        <w:spacing w:after="0" w:line="19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Special Procedures Applying to Directors, Ofcers, and Certain Other Personnel (Key Persons)</w:t>
      </w:r>
    </w:p>
    <w:p>
      <w:pPr>
        <w:spacing w:after="0" w:line="136" w:lineRule="exact"/>
        <w:rPr>
          <w:sz w:val="20"/>
          <w:szCs w:val="20"/>
          <w:color w:val="auto"/>
        </w:rPr>
      </w:pPr>
    </w:p>
    <w:p>
      <w:pPr>
        <w:ind w:right="100"/>
        <w:spacing w:after="0" w:line="238" w:lineRule="auto"/>
        <w:rPr>
          <w:sz w:val="20"/>
          <w:szCs w:val="20"/>
          <w:color w:val="auto"/>
        </w:rPr>
      </w:pPr>
      <w:r>
        <w:rPr>
          <w:rFonts w:ascii="Calibri" w:cs="Calibri" w:eastAsia="Calibri" w:hAnsi="Calibri"/>
          <w:sz w:val="17"/>
          <w:szCs w:val="17"/>
          <w:color w:val="auto"/>
        </w:rPr>
        <w:t>While it is never permissible to trade based on material, nonpublic informaton, to provide assistance in preventng inadvertent violatons and avoiding even the appearance of an improper transacton (which could result, for example, where a Covered Person engages in a trade while unaware of a pending major development), the Company is implementng the following special procedures for: (1) ofcers and directors of the Company and any other subsidiaries or divisions of the Company that may be designated from tme to tme; (2) the executve assistants of each of the foregoing ofcers and directors; and (3) any person who receives a grant from the Company of an Opton, Stock Appreciaton Right, Restricted Stock, Stock Unit, Unrestricted Stock, Dividend Equivalent Right, Performance Share or other Performance-Based Award, or other Equity-Based Award (collectvely, “Key Persons”):</w:t>
      </w:r>
    </w:p>
    <w:p>
      <w:pPr>
        <w:spacing w:after="0" w:line="140" w:lineRule="exact"/>
        <w:rPr>
          <w:sz w:val="20"/>
          <w:szCs w:val="20"/>
          <w:color w:val="auto"/>
        </w:rPr>
      </w:pPr>
    </w:p>
    <w:p>
      <w:pPr>
        <w:ind w:left="960" w:hanging="313"/>
        <w:spacing w:after="0" w:line="225" w:lineRule="auto"/>
        <w:tabs>
          <w:tab w:leader="none" w:pos="947" w:val="left"/>
        </w:tabs>
        <w:numPr>
          <w:ilvl w:val="0"/>
          <w:numId w:val="56"/>
        </w:numPr>
        <w:rPr>
          <w:rFonts w:ascii="Calibri" w:cs="Calibri" w:eastAsia="Calibri" w:hAnsi="Calibri"/>
          <w:sz w:val="18"/>
          <w:szCs w:val="18"/>
          <w:b w:val="1"/>
          <w:bCs w:val="1"/>
          <w:color w:val="auto"/>
        </w:rPr>
      </w:pPr>
      <w:r>
        <w:rPr>
          <w:rFonts w:ascii="Calibri" w:cs="Calibri" w:eastAsia="Calibri" w:hAnsi="Calibri"/>
          <w:sz w:val="18"/>
          <w:szCs w:val="18"/>
          <w:b w:val="1"/>
          <w:bCs w:val="1"/>
          <w:u w:val="single" w:color="auto"/>
          <w:color w:val="auto"/>
        </w:rPr>
        <w:t>Pre-Clearance of All Trades</w:t>
      </w:r>
      <w:r>
        <w:rPr>
          <w:rFonts w:ascii="Calibri" w:cs="Calibri" w:eastAsia="Calibri" w:hAnsi="Calibri"/>
          <w:sz w:val="18"/>
          <w:szCs w:val="18"/>
          <w:color w:val="auto"/>
        </w:rPr>
        <w:t>. All transactons in Company stock (acquisitons, dispositons, transfers, gifs, etc.) by Key Persons must be pre-cleared by the Securites Compliance Ofcer. If you contemplate a transacton, contact the Securites Compliance Ofcer in advance at [</w:t>
      </w:r>
      <w:r>
        <w:rPr>
          <w:rFonts w:ascii="Calibri" w:cs="Calibri" w:eastAsia="Calibri" w:hAnsi="Calibri"/>
          <w:sz w:val="18"/>
          <w:szCs w:val="18"/>
          <w:u w:val="single" w:color="auto"/>
          <w:color w:val="auto"/>
        </w:rPr>
        <w:t>]</w:t>
      </w:r>
      <w:r>
        <w:rPr>
          <w:rFonts w:ascii="Calibri" w:cs="Calibri" w:eastAsia="Calibri" w:hAnsi="Calibri"/>
          <w:sz w:val="18"/>
          <w:szCs w:val="18"/>
          <w:color w:val="auto"/>
        </w:rPr>
        <w:t>. This requirement does not apply to stock opton exercises, but would cover market sales of opton stock. Pre-clearance of a transacton is valid only for the fve business day period immediately following receipt by the Key Person of such pre-clearance, however if a Key Person learns of material, nonpublic informaton during such fve business day period, the Key Person may no longer trade, notwithstanding the prior receipt of clearance.</w:t>
      </w:r>
    </w:p>
    <w:p>
      <w:pPr>
        <w:spacing w:after="0" w:line="2" w:lineRule="exact"/>
        <w:rPr>
          <w:rFonts w:ascii="Calibri" w:cs="Calibri" w:eastAsia="Calibri" w:hAnsi="Calibri"/>
          <w:sz w:val="18"/>
          <w:szCs w:val="18"/>
          <w:b w:val="1"/>
          <w:bCs w:val="1"/>
          <w:color w:val="auto"/>
        </w:rPr>
      </w:pPr>
    </w:p>
    <w:p>
      <w:pPr>
        <w:ind w:left="960" w:right="40" w:hanging="313"/>
        <w:spacing w:after="0" w:line="224" w:lineRule="auto"/>
        <w:tabs>
          <w:tab w:leader="none" w:pos="947" w:val="left"/>
        </w:tabs>
        <w:numPr>
          <w:ilvl w:val="0"/>
          <w:numId w:val="56"/>
        </w:numPr>
        <w:rPr>
          <w:rFonts w:ascii="Calibri" w:cs="Calibri" w:eastAsia="Calibri" w:hAnsi="Calibri"/>
          <w:sz w:val="18"/>
          <w:szCs w:val="18"/>
          <w:b w:val="1"/>
          <w:bCs w:val="1"/>
          <w:color w:val="auto"/>
        </w:rPr>
      </w:pPr>
      <w:r>
        <w:rPr>
          <w:rFonts w:ascii="Calibri" w:cs="Calibri" w:eastAsia="Calibri" w:hAnsi="Calibri"/>
          <w:sz w:val="18"/>
          <w:szCs w:val="18"/>
          <w:color w:val="auto"/>
        </w:rPr>
        <w:t>“</w:t>
      </w:r>
      <w:r>
        <w:rPr>
          <w:rFonts w:ascii="Calibri" w:cs="Calibri" w:eastAsia="Calibri" w:hAnsi="Calibri"/>
          <w:sz w:val="18"/>
          <w:szCs w:val="18"/>
          <w:b w:val="1"/>
          <w:bCs w:val="1"/>
          <w:u w:val="single" w:color="auto"/>
          <w:color w:val="auto"/>
        </w:rPr>
        <w:t>Black-Out Periods</w:t>
      </w:r>
      <w:r>
        <w:rPr>
          <w:rFonts w:ascii="Calibri" w:cs="Calibri" w:eastAsia="Calibri" w:hAnsi="Calibri"/>
          <w:sz w:val="19"/>
          <w:szCs w:val="19"/>
          <w:u w:val="single" w:color="auto"/>
          <w:color w:val="auto"/>
        </w:rPr>
        <w:t>” –</w:t>
      </w:r>
      <w:r>
        <w:rPr>
          <w:rFonts w:ascii="Calibri" w:cs="Calibri" w:eastAsia="Calibri" w:hAnsi="Calibri"/>
          <w:sz w:val="18"/>
          <w:szCs w:val="18"/>
          <w:color w:val="auto"/>
        </w:rPr>
        <w:t xml:space="preserve"> </w:t>
      </w:r>
      <w:r>
        <w:rPr>
          <w:rFonts w:ascii="Calibri" w:cs="Calibri" w:eastAsia="Calibri" w:hAnsi="Calibri"/>
          <w:sz w:val="18"/>
          <w:szCs w:val="18"/>
          <w:b w:val="1"/>
          <w:bCs w:val="1"/>
          <w:u w:val="single" w:color="auto"/>
          <w:color w:val="auto"/>
        </w:rPr>
        <w:t>When Trading is Not Permited</w:t>
      </w:r>
      <w:r>
        <w:rPr>
          <w:rFonts w:ascii="Calibri" w:cs="Calibri" w:eastAsia="Calibri" w:hAnsi="Calibri"/>
          <w:sz w:val="19"/>
          <w:szCs w:val="19"/>
          <w:u w:val="single" w:color="auto"/>
          <w:color w:val="auto"/>
        </w:rPr>
        <w:t>.</w:t>
      </w:r>
      <w:r>
        <w:rPr>
          <w:rFonts w:ascii="Calibri" w:cs="Calibri" w:eastAsia="Calibri" w:hAnsi="Calibri"/>
          <w:sz w:val="18"/>
          <w:szCs w:val="18"/>
          <w:color w:val="auto"/>
        </w:rPr>
        <w:t xml:space="preserve"> Key Persons are prohibited from trading in any securites of the Company, or entering into or amending any Rule 10b5-1 plan related to purchases or sales of the Company’s securites, during the period beginning at the close of market 21 calendar days prior to the close of any calendar quarter and ending at the close of market on the second business day afer the release of the Company’s fnancial results for that quarter. Key Persons who leave the company for any reason must adhere to any Black-Out Periods that occur within 90 days following the employee’s resignaton, retrement or terminaton.</w:t>
      </w:r>
    </w:p>
    <w:p>
      <w:pPr>
        <w:spacing w:after="0" w:line="139" w:lineRule="exact"/>
        <w:rPr>
          <w:rFonts w:ascii="Calibri" w:cs="Calibri" w:eastAsia="Calibri" w:hAnsi="Calibri"/>
          <w:sz w:val="18"/>
          <w:szCs w:val="18"/>
          <w:b w:val="1"/>
          <w:bCs w:val="1"/>
          <w:color w:val="auto"/>
        </w:rPr>
      </w:pPr>
    </w:p>
    <w:p>
      <w:pPr>
        <w:ind w:left="960" w:right="60"/>
        <w:spacing w:after="0" w:line="222" w:lineRule="auto"/>
        <w:rPr>
          <w:rFonts w:ascii="Calibri" w:cs="Calibri" w:eastAsia="Calibri" w:hAnsi="Calibri"/>
          <w:sz w:val="18"/>
          <w:szCs w:val="18"/>
          <w:b w:val="1"/>
          <w:bCs w:val="1"/>
          <w:color w:val="auto"/>
        </w:rPr>
      </w:pPr>
      <w:r>
        <w:rPr>
          <w:rFonts w:ascii="Calibri" w:cs="Calibri" w:eastAsia="Calibri" w:hAnsi="Calibri"/>
          <w:sz w:val="18"/>
          <w:szCs w:val="18"/>
          <w:color w:val="auto"/>
        </w:rPr>
        <w:t>In additon, the Company may from tme to tme require Key Persons to refrain from trading during other specifed periods when signifcant developments or announcements are antcipated. Remember, however, that even during periods when a Black-Out Period is not in efect, no one shall trade in the securites of the Company if such person possesses material, nonpublic informaton.</w:t>
      </w:r>
    </w:p>
    <w:p>
      <w:pPr>
        <w:spacing w:after="0" w:line="137" w:lineRule="exact"/>
        <w:rPr>
          <w:rFonts w:ascii="Calibri" w:cs="Calibri" w:eastAsia="Calibri" w:hAnsi="Calibri"/>
          <w:sz w:val="18"/>
          <w:szCs w:val="18"/>
          <w:b w:val="1"/>
          <w:bCs w:val="1"/>
          <w:color w:val="auto"/>
        </w:rPr>
      </w:pPr>
    </w:p>
    <w:p>
      <w:pPr>
        <w:ind w:left="960" w:right="20"/>
        <w:spacing w:after="0" w:line="226" w:lineRule="auto"/>
        <w:rPr>
          <w:rFonts w:ascii="Calibri" w:cs="Calibri" w:eastAsia="Calibri" w:hAnsi="Calibri"/>
          <w:sz w:val="18"/>
          <w:szCs w:val="18"/>
          <w:b w:val="1"/>
          <w:bCs w:val="1"/>
          <w:color w:val="auto"/>
        </w:rPr>
      </w:pPr>
      <w:r>
        <w:rPr>
          <w:rFonts w:ascii="Calibri" w:cs="Calibri" w:eastAsia="Calibri" w:hAnsi="Calibri"/>
          <w:sz w:val="18"/>
          <w:szCs w:val="18"/>
          <w:color w:val="auto"/>
        </w:rPr>
        <w:t>Key Persons may complete a pending transacton in Company stock at any tme, including during a Black-Out Period, if the Key Person has entered into a binding contract or has given writen instructons to the Key Person’s broker at a tme outside of a Black-Out Period or when the Key Person is not aware of material, nonpublic informaton, and such contact or instructons meets all of the requirements and applicable rules and regulatons promulgated by the SEC, including Rule 10b5-1 under the Exchange Act and any applicable state securites “blue sky” laws (a “</w:t>
      </w:r>
      <w:r>
        <w:rPr>
          <w:rFonts w:ascii="Calibri" w:cs="Calibri" w:eastAsia="Calibri" w:hAnsi="Calibri"/>
          <w:sz w:val="18"/>
          <w:szCs w:val="18"/>
          <w:u w:val="single" w:color="auto"/>
          <w:color w:val="auto"/>
        </w:rPr>
        <w:t>Trading Plan</w:t>
      </w:r>
      <w:r>
        <w:rPr>
          <w:rFonts w:ascii="Calibri" w:cs="Calibri" w:eastAsia="Calibri" w:hAnsi="Calibri"/>
          <w:sz w:val="18"/>
          <w:szCs w:val="18"/>
          <w:color w:val="auto"/>
        </w:rPr>
        <w:t>”).</w:t>
      </w:r>
    </w:p>
    <w:p>
      <w:pPr>
        <w:spacing w:after="0" w:line="139" w:lineRule="exact"/>
        <w:rPr>
          <w:rFonts w:ascii="Calibri" w:cs="Calibri" w:eastAsia="Calibri" w:hAnsi="Calibri"/>
          <w:sz w:val="18"/>
          <w:szCs w:val="18"/>
          <w:b w:val="1"/>
          <w:bCs w:val="1"/>
          <w:color w:val="auto"/>
        </w:rPr>
      </w:pPr>
    </w:p>
    <w:p>
      <w:pPr>
        <w:ind w:left="960" w:right="180"/>
        <w:spacing w:after="0" w:line="225" w:lineRule="auto"/>
        <w:rPr>
          <w:rFonts w:ascii="Calibri" w:cs="Calibri" w:eastAsia="Calibri" w:hAnsi="Calibri"/>
          <w:sz w:val="18"/>
          <w:szCs w:val="18"/>
          <w:b w:val="1"/>
          <w:bCs w:val="1"/>
          <w:color w:val="auto"/>
        </w:rPr>
      </w:pPr>
      <w:r>
        <w:rPr>
          <w:rFonts w:ascii="Calibri" w:cs="Calibri" w:eastAsia="Calibri" w:hAnsi="Calibri"/>
          <w:sz w:val="18"/>
          <w:szCs w:val="18"/>
          <w:color w:val="auto"/>
        </w:rPr>
        <w:t>The Trading Plan must be in a form approved by the Company and must adhere to the Company’s Policy for Trading Plans. Please bear in mind that the terms of the contract or instructons may not be altered during a Black-Out Period, or at any tme the Key Person is in possession of material, nonpublic informaton. Any requested changes to, or cancellaton of, a contract or instructons must be approved in advance on a case-by-case basis by the Securites Compliance Ofcer or a delegate of the Securites Compliance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00"/>
          </w:cols>
          <w:pgMar w:left="640" w:top="427"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395CE9"/>
        </w:rPr>
        <w:t>BPM–16 INSIDER TRADING POLICY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The Consequences of Insider Trading</w:t>
      </w:r>
    </w:p>
    <w:p>
      <w:pPr>
        <w:spacing w:after="0" w:line="127" w:lineRule="exact"/>
        <w:rPr>
          <w:sz w:val="20"/>
          <w:szCs w:val="20"/>
          <w:color w:val="auto"/>
        </w:rPr>
      </w:pPr>
    </w:p>
    <w:p>
      <w:pPr>
        <w:spacing w:after="0"/>
        <w:rPr>
          <w:sz w:val="20"/>
          <w:szCs w:val="20"/>
          <w:color w:val="auto"/>
        </w:rPr>
      </w:pPr>
      <w:r>
        <w:rPr>
          <w:rFonts w:ascii="Calibri" w:cs="Calibri" w:eastAsia="Calibri" w:hAnsi="Calibri"/>
          <w:sz w:val="18"/>
          <w:szCs w:val="18"/>
          <w:color w:val="auto"/>
        </w:rPr>
        <w:t>The consequences of insider trading violatons can be staggering:</w:t>
      </w:r>
    </w:p>
    <w:p>
      <w:pPr>
        <w:spacing w:after="0" w:line="194" w:lineRule="exact"/>
        <w:rPr>
          <w:sz w:val="20"/>
          <w:szCs w:val="20"/>
          <w:color w:val="auto"/>
        </w:rPr>
      </w:pPr>
    </w:p>
    <w:p>
      <w:pPr>
        <w:ind w:left="640" w:hanging="313"/>
        <w:spacing w:after="0"/>
        <w:tabs>
          <w:tab w:leader="none" w:pos="640"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For individuals who trade on inside informaton (or tp informaton to others):</w:t>
      </w:r>
    </w:p>
    <w:p>
      <w:pPr>
        <w:spacing w:after="0" w:line="207" w:lineRule="exact"/>
        <w:rPr>
          <w:rFonts w:ascii="Calibri" w:cs="Calibri" w:eastAsia="Calibri" w:hAnsi="Calibri"/>
          <w:sz w:val="18"/>
          <w:szCs w:val="18"/>
          <w:color w:val="auto"/>
        </w:rPr>
      </w:pPr>
    </w:p>
    <w:p>
      <w:pPr>
        <w:ind w:left="960" w:hanging="313"/>
        <w:spacing w:after="0"/>
        <w:tabs>
          <w:tab w:leader="none" w:pos="960" w:val="left"/>
        </w:tabs>
        <w:numPr>
          <w:ilvl w:val="1"/>
          <w:numId w:val="57"/>
        </w:numPr>
        <w:rPr>
          <w:rFonts w:ascii="Calibri" w:cs="Calibri" w:eastAsia="Calibri" w:hAnsi="Calibri"/>
          <w:sz w:val="18"/>
          <w:szCs w:val="18"/>
          <w:color w:val="auto"/>
        </w:rPr>
      </w:pPr>
      <w:r>
        <w:rPr>
          <w:rFonts w:ascii="Calibri" w:cs="Calibri" w:eastAsia="Calibri" w:hAnsi="Calibri"/>
          <w:sz w:val="18"/>
          <w:szCs w:val="18"/>
          <w:color w:val="auto"/>
        </w:rPr>
        <w:t>a civil penalty of up to three tmes the proft gained or loss avoided;</w:t>
      </w:r>
    </w:p>
    <w:p>
      <w:pPr>
        <w:ind w:left="960" w:hanging="313"/>
        <w:spacing w:after="0" w:line="218" w:lineRule="auto"/>
        <w:tabs>
          <w:tab w:leader="none" w:pos="960" w:val="left"/>
        </w:tabs>
        <w:numPr>
          <w:ilvl w:val="1"/>
          <w:numId w:val="57"/>
        </w:numPr>
        <w:rPr>
          <w:rFonts w:ascii="Calibri" w:cs="Calibri" w:eastAsia="Calibri" w:hAnsi="Calibri"/>
          <w:sz w:val="18"/>
          <w:szCs w:val="18"/>
          <w:color w:val="auto"/>
        </w:rPr>
      </w:pPr>
      <w:r>
        <w:rPr>
          <w:rFonts w:ascii="Calibri" w:cs="Calibri" w:eastAsia="Calibri" w:hAnsi="Calibri"/>
          <w:sz w:val="18"/>
          <w:szCs w:val="18"/>
          <w:color w:val="auto"/>
        </w:rPr>
        <w:t>a criminal fne (no mater how small the proft) of up to $5 million; and</w:t>
      </w:r>
    </w:p>
    <w:p>
      <w:pPr>
        <w:ind w:left="960" w:hanging="313"/>
        <w:spacing w:after="0" w:line="218" w:lineRule="auto"/>
        <w:tabs>
          <w:tab w:leader="none" w:pos="960" w:val="left"/>
        </w:tabs>
        <w:numPr>
          <w:ilvl w:val="1"/>
          <w:numId w:val="57"/>
        </w:numPr>
        <w:rPr>
          <w:rFonts w:ascii="Calibri" w:cs="Calibri" w:eastAsia="Calibri" w:hAnsi="Calibri"/>
          <w:sz w:val="18"/>
          <w:szCs w:val="18"/>
          <w:color w:val="auto"/>
        </w:rPr>
      </w:pPr>
      <w:r>
        <w:rPr>
          <w:rFonts w:ascii="Calibri" w:cs="Calibri" w:eastAsia="Calibri" w:hAnsi="Calibri"/>
          <w:sz w:val="18"/>
          <w:szCs w:val="18"/>
          <w:color w:val="auto"/>
        </w:rPr>
        <w:t>a jail term of up to twenty years.</w:t>
      </w:r>
    </w:p>
    <w:p>
      <w:pPr>
        <w:spacing w:after="0" w:line="128" w:lineRule="exact"/>
        <w:rPr>
          <w:sz w:val="20"/>
          <w:szCs w:val="20"/>
          <w:color w:val="auto"/>
        </w:rPr>
      </w:pPr>
    </w:p>
    <w:p>
      <w:pPr>
        <w:spacing w:after="0"/>
        <w:rPr>
          <w:sz w:val="20"/>
          <w:szCs w:val="20"/>
          <w:color w:val="auto"/>
        </w:rPr>
      </w:pPr>
      <w:r>
        <w:rPr>
          <w:rFonts w:ascii="Calibri" w:cs="Calibri" w:eastAsia="Calibri" w:hAnsi="Calibri"/>
          <w:sz w:val="18"/>
          <w:szCs w:val="18"/>
          <w:color w:val="auto"/>
        </w:rPr>
        <w:t>These penaltes can apply even if the individual is not a director, ofcer, or senior executve.</w:t>
      </w:r>
    </w:p>
    <w:p>
      <w:pPr>
        <w:spacing w:after="0" w:line="127" w:lineRule="exact"/>
        <w:rPr>
          <w:sz w:val="20"/>
          <w:szCs w:val="20"/>
          <w:color w:val="auto"/>
        </w:rPr>
      </w:pPr>
    </w:p>
    <w:p>
      <w:pPr>
        <w:ind w:left="640" w:hanging="313"/>
        <w:spacing w:after="0"/>
        <w:tabs>
          <w:tab w:leader="none" w:pos="64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For a company (as well as possibly any supervisory person) that fails to take appropriate steps to prevent illegal trading:</w:t>
      </w:r>
    </w:p>
    <w:p>
      <w:pPr>
        <w:spacing w:after="0" w:line="127" w:lineRule="exact"/>
        <w:rPr>
          <w:rFonts w:ascii="Calibri" w:cs="Calibri" w:eastAsia="Calibri" w:hAnsi="Calibri"/>
          <w:sz w:val="18"/>
          <w:szCs w:val="18"/>
          <w:color w:val="auto"/>
        </w:rPr>
      </w:pPr>
    </w:p>
    <w:p>
      <w:pPr>
        <w:ind w:left="960" w:hanging="313"/>
        <w:spacing w:after="0"/>
        <w:tabs>
          <w:tab w:leader="none" w:pos="960" w:val="left"/>
        </w:tabs>
        <w:numPr>
          <w:ilvl w:val="1"/>
          <w:numId w:val="58"/>
        </w:numPr>
        <w:rPr>
          <w:rFonts w:ascii="Calibri" w:cs="Calibri" w:eastAsia="Calibri" w:hAnsi="Calibri"/>
          <w:sz w:val="18"/>
          <w:szCs w:val="18"/>
          <w:color w:val="auto"/>
        </w:rPr>
      </w:pPr>
      <w:r>
        <w:rPr>
          <w:rFonts w:ascii="Calibri" w:cs="Calibri" w:eastAsia="Calibri" w:hAnsi="Calibri"/>
          <w:sz w:val="18"/>
          <w:szCs w:val="18"/>
          <w:color w:val="auto"/>
        </w:rPr>
        <w:t>a civil penalty of the greater of $1 million or three tmes the proft gained or loss avoided as a result of the employee’s violaton; and</w:t>
      </w:r>
    </w:p>
    <w:p>
      <w:pPr>
        <w:ind w:left="960" w:hanging="313"/>
        <w:spacing w:after="0" w:line="233" w:lineRule="auto"/>
        <w:tabs>
          <w:tab w:leader="none" w:pos="960" w:val="left"/>
        </w:tabs>
        <w:numPr>
          <w:ilvl w:val="1"/>
          <w:numId w:val="58"/>
        </w:numPr>
        <w:rPr>
          <w:rFonts w:ascii="Calibri" w:cs="Calibri" w:eastAsia="Calibri" w:hAnsi="Calibri"/>
          <w:sz w:val="18"/>
          <w:szCs w:val="18"/>
          <w:color w:val="auto"/>
        </w:rPr>
      </w:pPr>
      <w:r>
        <w:rPr>
          <w:rFonts w:ascii="Calibri" w:cs="Calibri" w:eastAsia="Calibri" w:hAnsi="Calibri"/>
          <w:sz w:val="18"/>
          <w:szCs w:val="18"/>
          <w:color w:val="auto"/>
        </w:rPr>
        <w:t>a criminal penalty of up to $25 million.</w:t>
      </w:r>
    </w:p>
    <w:p>
      <w:pPr>
        <w:spacing w:after="0" w:line="136" w:lineRule="exact"/>
        <w:rPr>
          <w:sz w:val="20"/>
          <w:szCs w:val="20"/>
          <w:color w:val="auto"/>
        </w:rPr>
      </w:pPr>
    </w:p>
    <w:p>
      <w:pPr>
        <w:spacing w:after="0" w:line="222" w:lineRule="auto"/>
        <w:rPr>
          <w:sz w:val="20"/>
          <w:szCs w:val="20"/>
          <w:color w:val="auto"/>
        </w:rPr>
      </w:pPr>
      <w:r>
        <w:rPr>
          <w:rFonts w:ascii="Calibri" w:cs="Calibri" w:eastAsia="Calibri" w:hAnsi="Calibri"/>
          <w:sz w:val="18"/>
          <w:szCs w:val="18"/>
          <w:color w:val="auto"/>
        </w:rPr>
        <w:t>Moreover, if an employee violates the Company’s Insider Trading Policy, sanctons imposed by the Company, including dismissal for cause, could result from failing to comply with the Company’s policy or procedures. Needless to say, any of the above consequences, even an SEC investgaton that does not result in prosecuton, can tarnish one’s reputaton and irreparably damage a career.</w:t>
      </w:r>
    </w:p>
    <w:p>
      <w:pPr>
        <w:spacing w:after="0" w:line="20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Company Assistance</w:t>
      </w:r>
    </w:p>
    <w:p>
      <w:pPr>
        <w:spacing w:after="0" w:line="141" w:lineRule="exact"/>
        <w:rPr>
          <w:sz w:val="20"/>
          <w:szCs w:val="20"/>
          <w:color w:val="auto"/>
        </w:rPr>
      </w:pPr>
    </w:p>
    <w:p>
      <w:pPr>
        <w:ind w:right="480"/>
        <w:spacing w:after="0" w:line="222" w:lineRule="auto"/>
        <w:rPr>
          <w:sz w:val="20"/>
          <w:szCs w:val="20"/>
          <w:color w:val="auto"/>
        </w:rPr>
      </w:pPr>
      <w:r>
        <w:rPr>
          <w:rFonts w:ascii="Calibri" w:cs="Calibri" w:eastAsia="Calibri" w:hAnsi="Calibri"/>
          <w:sz w:val="18"/>
          <w:szCs w:val="18"/>
          <w:color w:val="auto"/>
        </w:rPr>
        <w:t>Any person who has any questons about specifc transactons or this Policy in general may obtain additonal guidance from Labcorp’s Securites Compliance Ofcer or a delegate of the Securites Compliance Ofcer. Remember, however, the ultmate responsibility for adhering to this Policy and avoiding improper transactons rests with you. In this regard, it is imperatve that you use your best judgment.</w:t>
      </w:r>
    </w:p>
    <w:p>
      <w:pPr>
        <w:spacing w:after="0" w:line="129" w:lineRule="exact"/>
        <w:rPr>
          <w:sz w:val="20"/>
          <w:szCs w:val="20"/>
          <w:color w:val="auto"/>
        </w:rPr>
      </w:pPr>
    </w:p>
    <w:p>
      <w:pPr>
        <w:spacing w:after="0"/>
        <w:rPr>
          <w:sz w:val="20"/>
          <w:szCs w:val="20"/>
          <w:color w:val="auto"/>
        </w:rPr>
      </w:pPr>
      <w:r>
        <w:rPr>
          <w:rFonts w:ascii="Calibri" w:cs="Calibri" w:eastAsia="Calibri" w:hAnsi="Calibri"/>
          <w:sz w:val="18"/>
          <w:szCs w:val="18"/>
          <w:color w:val="auto"/>
        </w:rPr>
        <w:t>APPROVED BY CORPORATE COMPLIANCE COMMITTEE: February 20, 2023</w:t>
      </w:r>
    </w:p>
    <w:p>
      <w:pPr>
        <w:sectPr>
          <w:pgSz w:w="11900" w:h="16838" w:orient="portrait"/>
          <w:cols w:equalWidth="0" w:num="1">
            <w:col w:w="10920"/>
          </w:cols>
          <w:pgMar w:left="640" w:top="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20"/>
          </w:cols>
          <w:pgMar w:left="640" w:top="428" w:right="339" w:bottom="1440" w:gutter="0" w:footer="0" w:header="0"/>
          <w:type w:val="continuous"/>
        </w:sectPr>
      </w:pPr>
    </w:p>
    <w:bookmarkStart w:id="130" w:name="page131"/>
    <w:bookmarkEnd w:id="130"/>
    <w:p>
      <w:pPr>
        <w:jc w:val="right"/>
        <w:ind w:right="2559"/>
        <w:spacing w:after="0"/>
        <w:tabs>
          <w:tab w:leader="none" w:pos="2360" w:val="left"/>
        </w:tabs>
        <w:rPr>
          <w:sz w:val="20"/>
          <w:szCs w:val="20"/>
          <w:color w:val="auto"/>
        </w:rPr>
      </w:pPr>
      <w:r>
        <w:rPr>
          <w:rFonts w:ascii="Times New Roman" w:cs="Times New Roman" w:eastAsia="Times New Roman" w:hAnsi="Times New Roman"/>
          <w:sz w:val="21"/>
          <w:szCs w:val="21"/>
          <w:b w:val="1"/>
          <w:bCs w:val="1"/>
          <w:color w:val="auto"/>
        </w:rPr>
        <w:t>Exhibit 21.1</w:t>
        <w:tab/>
        <w:t>LIST OF SUBSIDIARIES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3065619 Nova Scotia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Accupath Diagnostic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CannAmm OTS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Center For Disease Detection,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Clearstone Holdings (International)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Czura Thornton (Hong Kong)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D.H.G. Place du Centre Clinique Ltee.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Dianon Systems,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DL Holdings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Northwest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Valley Medical Laboratories GP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Valley Medical Laboratory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 Gamma Laboratory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Colorado Pathology Practice Group, P.C.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Genetic Laboratories,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Pathology Practice Group, P.C.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Gamma-Dynacare Central Medical Laboratories GP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Gamma-Dynacare Central Medical Laboratory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Hazpen Trustees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 Delivery Service of New York City,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Belgium Holdings,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Diagnostics Europe Holdings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Employer Services,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Genetics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Health System Diagnostics,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Japan, G.K.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Kansas,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Switzerland S.a.r.l.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Oklahoma,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Staffing Solutions,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Tennessee,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UK Finco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UK Holdings,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Laboratory Corporation of America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Laboratory Corporation of America Holdings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Neurogenetics,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Diagnostics,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Scientific,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Monogram Biosciences,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National Genetics Institute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Molecular Diagnostics Ventures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Omniseq,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Ovuline,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Pathology Associates Medical Laboratories,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Personal Genome Diagnostics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Pixel By Lab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Protedyne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Center For Molecular Medicine,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SW/DL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Labcorp Charitable Foundation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Viro-Med Laboratories, Inc.</w:t>
      </w:r>
    </w:p>
    <w:p>
      <w:pPr>
        <w:sectPr>
          <w:pgSz w:w="11900" w:h="16838" w:orient="portrait"/>
          <w:cols w:equalWidth="0" w:num="1">
            <w:col w:w="9339"/>
          </w:cols>
          <w:pgMar w:left="1120" w:top="882"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color w:val="auto"/>
        </w:rPr>
        <w:t>Visiun,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Inactive Entities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Laboratories Arizona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Lighthouse 2024 LLC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BioPharma Operating Entities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Fairfax Storage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Bedford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Bioanalytical Services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BV</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Laboratory Services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Laboratory Services S.à r.l.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Clinical Development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CTTS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Development (Asia) Pte.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Development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India Private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Laboratories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Laboratories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Early Development Services GmbH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Hong Kong Holdings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Group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Holdings B.V.</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International Holdings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India Private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Japan GK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SASU</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Sdn. Bhd.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sp. z o.o.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Laboratories YH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LSR Pension Escrow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Luxembourg Sarl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Luxembourg Sarl</w:t>
      </w:r>
    </w:p>
    <w:p>
      <w:pPr>
        <w:spacing w:after="0" w:line="29" w:lineRule="exact"/>
        <w:rPr>
          <w:sz w:val="20"/>
          <w:szCs w:val="20"/>
          <w:color w:val="auto"/>
        </w:rPr>
      </w:pPr>
    </w:p>
    <w:p>
      <w:pPr>
        <w:ind w:right="4619"/>
        <w:spacing w:after="0" w:line="294" w:lineRule="auto"/>
        <w:rPr>
          <w:sz w:val="20"/>
          <w:szCs w:val="20"/>
          <w:color w:val="auto"/>
        </w:rPr>
      </w:pPr>
      <w:r>
        <w:rPr>
          <w:rFonts w:ascii="Times New Roman" w:cs="Times New Roman" w:eastAsia="Times New Roman" w:hAnsi="Times New Roman"/>
          <w:sz w:val="16"/>
          <w:szCs w:val="16"/>
          <w:color w:val="auto"/>
        </w:rPr>
        <w:t>Labcorp Pharmaceutical Research and Development (Shanghai) Co., Ltd. Labcorp Pharmaceutical Research and Development (Suzhou) Co., Ltd. LSR Pension Scheme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BioPharma Inactive Entities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CRS International Limited</w:t>
      </w:r>
    </w:p>
    <w:p>
      <w:pPr>
        <w:sectPr>
          <w:pgSz w:w="11900" w:h="16838" w:orient="portrait"/>
          <w:cols w:equalWidth="0" w:num="1">
            <w:col w:w="9339"/>
          </w:cols>
          <w:pgMar w:left="1120" w:top="1019"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Laboratory Corporation of America Holdings (“LCAH”), a Delaware corporation and wholly owned subsidiary of Labcorp Holdings Inc. (“LHI”), a Delaware corporation, were outstanding as of December 31, 2024.</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Senior Notes</w:t>
      </w:r>
    </w:p>
    <w:p>
      <w:pPr>
        <w:spacing w:after="0" w:line="51" w:lineRule="exact"/>
        <w:rPr>
          <w:sz w:val="20"/>
          <w:szCs w:val="20"/>
          <w:color w:val="auto"/>
        </w:rPr>
      </w:pPr>
    </w:p>
    <w:p>
      <w:pPr>
        <w:ind w:left="20" w:right="540"/>
        <w:spacing w:after="0" w:line="261" w:lineRule="auto"/>
        <w:rPr>
          <w:sz w:val="20"/>
          <w:szCs w:val="20"/>
          <w:color w:val="auto"/>
        </w:rPr>
      </w:pPr>
      <w:r>
        <w:rPr>
          <w:rFonts w:ascii="Times New Roman" w:cs="Times New Roman" w:eastAsia="Times New Roman" w:hAnsi="Times New Roman"/>
          <w:sz w:val="18"/>
          <w:szCs w:val="18"/>
          <w:color w:val="auto"/>
        </w:rPr>
        <w:t>3.60% Senior Notes due 2025 (issued under the Ninth Supplemental Indenture to the 2010 Indenture, dated as of November 19, 2010, by and between LCAH and U.S. Bank Trust Company, National Association, as trustee (the “2010 Indenture”))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1.55% Senior Notes due 2026 (issued under the Fifteenth Supplemental Indenture to the 2010 Indenture)</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3.60% Senior Notes due 2027 (issued under the Twelfth Supplemental Indenture to the 2010 Indenture)</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2.95% Senior Notes due 2029 (issued under the Fourteenth Supplemental Indenture to the 2010 Indenture)</w:t>
      </w:r>
    </w:p>
    <w:p>
      <w:pPr>
        <w:spacing w:after="0" w:line="47"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8"/>
          <w:szCs w:val="18"/>
          <w:color w:val="auto"/>
        </w:rPr>
        <w:t>4.35% Senior Notes due 2030 (issued under the First Supplemental Indenture to the Indenture, dated as of September 23, 2024, by and between LCAH and U.S. Bank Trust Company, National Association, as trustee (the “2024 Indenture”))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2.70% Senior Notes due 2031 (issued under the Sixteenth Supplemental Indenture to the 2010 Indenture)</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4.55% Senior Notes due 2032 (issued under the Second Supplemental Indenture to the 2024 Indenture)</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4.80% Senior Notes due 2034 (issued under the Third Supplemental Indenture to the 2024 Indenture)</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 Senior Notes due 2045 (issued under the Tenth Supplemental Indenture to the 2010 Indenture)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obligors under the Senior Notes consisted of LHI, as guarantor, and LCAH, as issuer.</w:t>
      </w:r>
    </w:p>
    <w:p>
      <w:pPr>
        <w:sectPr>
          <w:pgSz w:w="11900" w:h="16838" w:orient="portrait"/>
          <w:cols w:equalWidth="0" w:num="1">
            <w:col w:w="11240"/>
          </w:cols>
          <w:pgMar w:left="320" w:top="82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333-279510 on Form S-3 and Registration Statement No. 333-279514 on Form S-8 of our reports dated February 25, 2025, relating to the consolidated financial statements of Labcorp Holdings Inc. and the effectiveness of Labcorp Holdings Inc.’s internal control over financial reporting appearing in this Annual Report on Form 10-K for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0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her true and lawful attorney-in-fact and agent, with full power of substitution, for her and in her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73" w:lineRule="exact"/>
        <w:rPr>
          <w:sz w:val="20"/>
          <w:szCs w:val="20"/>
          <w:color w:val="auto"/>
        </w:rPr>
      </w:pPr>
    </w:p>
    <w:p>
      <w:pPr>
        <w:ind w:left="64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4554220</wp:posOffset>
            </wp:positionH>
            <wp:positionV relativeFrom="paragraph">
              <wp:posOffset>15875</wp:posOffset>
            </wp:positionV>
            <wp:extent cx="26466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1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Kerrii B. Anderson</w:t>
      </w:r>
    </w:p>
    <w:p>
      <w:pPr>
        <w:sectPr>
          <w:pgSz w:w="11900" w:h="16838" w:orient="portrait"/>
          <w:cols w:equalWidth="0" w:num="1">
            <w:col w:w="11240"/>
          </w:cols>
          <w:pgMar w:left="320" w:top="138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Exhibit 24.2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his true and lawful attorney-in-fact and agent, with full power of substitution, for him and in his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73" w:lineRule="exact"/>
        <w:rPr>
          <w:sz w:val="20"/>
          <w:szCs w:val="20"/>
          <w:color w:val="auto"/>
        </w:rPr>
      </w:pPr>
    </w:p>
    <w:p>
      <w:pPr>
        <w:ind w:left="50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15875</wp:posOffset>
            </wp:positionV>
            <wp:extent cx="34994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1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Jeffrey A. Davis</w:t>
      </w:r>
    </w:p>
    <w:p>
      <w:pPr>
        <w:sectPr>
          <w:pgSz w:w="11900" w:h="16838" w:orient="portrait"/>
          <w:cols w:equalWidth="0" w:num="1">
            <w:col w:w="11240"/>
          </w:cols>
          <w:pgMar w:left="320" w:top="138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Exhibit 24.3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his true and lawful attorney-in-fact and agent, with full power of substitution, for him and in his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00" w:lineRule="exact"/>
        <w:rPr>
          <w:sz w:val="20"/>
          <w:szCs w:val="20"/>
          <w:color w:val="auto"/>
        </w:rPr>
      </w:pPr>
    </w:p>
    <w:p>
      <w:pPr>
        <w:spacing w:after="0" w:line="314" w:lineRule="exact"/>
        <w:rPr>
          <w:sz w:val="20"/>
          <w:szCs w:val="20"/>
          <w:color w:val="auto"/>
        </w:rPr>
      </w:pPr>
    </w:p>
    <w:p>
      <w:pPr>
        <w:ind w:left="64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4554220</wp:posOffset>
            </wp:positionH>
            <wp:positionV relativeFrom="paragraph">
              <wp:posOffset>15875</wp:posOffset>
            </wp:positionV>
            <wp:extent cx="26466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1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 Gary Gilliland, M.D., Ph.D</w:t>
      </w:r>
    </w:p>
    <w:p>
      <w:pPr>
        <w:sectPr>
          <w:pgSz w:w="11900" w:h="16838" w:orient="portrait"/>
          <w:cols w:equalWidth="0" w:num="1">
            <w:col w:w="11240"/>
          </w:cols>
          <w:pgMar w:left="320" w:top="138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Exhibit 24.4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her true and lawful attorney-in-fact and agent, with full power of substitution, for her and in her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73" w:lineRule="exact"/>
        <w:rPr>
          <w:sz w:val="20"/>
          <w:szCs w:val="20"/>
          <w:color w:val="auto"/>
        </w:rPr>
      </w:pPr>
    </w:p>
    <w:p>
      <w:pPr>
        <w:ind w:left="61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KIRSTEN M. KLIPHOUSE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15875</wp:posOffset>
            </wp:positionV>
            <wp:extent cx="27114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Kirsten M. Kliphouse</w:t>
      </w:r>
    </w:p>
    <w:p>
      <w:pPr>
        <w:sectPr>
          <w:pgSz w:w="11900" w:h="16838" w:orient="portrait"/>
          <w:cols w:equalWidth="0" w:num="1">
            <w:col w:w="11240"/>
          </w:cols>
          <w:pgMar w:left="320" w:top="138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Exhibit 24.5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his true and lawful attorney-in-fact and agent, with full power of substitution, for him and in his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73" w:lineRule="exact"/>
        <w:rPr>
          <w:sz w:val="20"/>
          <w:szCs w:val="20"/>
          <w:color w:val="auto"/>
        </w:rPr>
      </w:pPr>
    </w:p>
    <w:p>
      <w:pPr>
        <w:ind w:left="61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15875</wp:posOffset>
            </wp:positionV>
            <wp:extent cx="27114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Garheng Kong, M.D., Ph.D.</w:t>
      </w:r>
    </w:p>
    <w:p>
      <w:pPr>
        <w:sectPr>
          <w:pgSz w:w="11900" w:h="16838" w:orient="portrait"/>
          <w:cols w:equalWidth="0" w:num="1">
            <w:col w:w="11240"/>
          </w:cols>
          <w:pgMar w:left="320" w:top="138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Exhibit 24.6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his true and lawful attorney-in-fact and agent, with full power of substitution, for him and in his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73" w:lineRule="exact"/>
        <w:rPr>
          <w:sz w:val="20"/>
          <w:szCs w:val="20"/>
          <w:color w:val="auto"/>
        </w:rPr>
      </w:pPr>
    </w:p>
    <w:p>
      <w:pPr>
        <w:ind w:left="50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15875</wp:posOffset>
            </wp:positionV>
            <wp:extent cx="34994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1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Peter M. Neupert</w:t>
      </w:r>
    </w:p>
    <w:p>
      <w:pPr>
        <w:sectPr>
          <w:pgSz w:w="11900" w:h="16838" w:orient="portrait"/>
          <w:cols w:equalWidth="0" w:num="1">
            <w:col w:w="11240"/>
          </w:cols>
          <w:pgMar w:left="320" w:top="138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Exhibit 24.7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her true and lawful attorney-in-fact and agent, with full power of substitution, for her and in her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73" w:lineRule="exact"/>
        <w:rPr>
          <w:sz w:val="20"/>
          <w:szCs w:val="20"/>
          <w:color w:val="auto"/>
        </w:rPr>
      </w:pPr>
    </w:p>
    <w:p>
      <w:pPr>
        <w:ind w:left="50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RICHELLE P.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15875</wp:posOffset>
            </wp:positionV>
            <wp:extent cx="34994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1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Richelle P. Parham</w:t>
      </w:r>
    </w:p>
    <w:p>
      <w:pPr>
        <w:sectPr>
          <w:pgSz w:w="11900" w:h="16838" w:orient="portrait"/>
          <w:cols w:equalWidth="0" w:num="1">
            <w:col w:w="11240"/>
          </w:cols>
          <w:pgMar w:left="320" w:top="110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Exhibit 24.8</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his true and lawful attorney-in-fact and agent, with full power of substitution, for him and in his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73" w:lineRule="exact"/>
        <w:rPr>
          <w:sz w:val="20"/>
          <w:szCs w:val="20"/>
          <w:color w:val="auto"/>
        </w:rPr>
      </w:pPr>
    </w:p>
    <w:p>
      <w:pPr>
        <w:ind w:left="50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ROTHMAN,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15875</wp:posOffset>
            </wp:positionV>
            <wp:extent cx="34994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1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Paul Rothman, M.D.</w:t>
      </w:r>
    </w:p>
    <w:p>
      <w:pPr>
        <w:sectPr>
          <w:pgSz w:w="11900" w:h="16838" w:orient="portrait"/>
          <w:cols w:equalWidth="0" w:num="1">
            <w:col w:w="11240"/>
          </w:cols>
          <w:pgMar w:left="320" w:top="138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Exhibit 24.9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undersigned hereby constitutes and appoints Sandra D. van der Vaart her true and lawful attorney-in-fact and agent, with full power of substitution, for her and in her name, place and stead, in any and all capacities, in connection with the Labcorp Holdings Inc. (Corporation) Annual Report on Form 10-K for the year ended December 31, 2024,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25th day of February, 2025.</w:t>
      </w:r>
    </w:p>
    <w:p>
      <w:pPr>
        <w:spacing w:after="0" w:line="273" w:lineRule="exact"/>
        <w:rPr>
          <w:sz w:val="20"/>
          <w:szCs w:val="20"/>
          <w:color w:val="auto"/>
        </w:rPr>
      </w:pPr>
    </w:p>
    <w:p>
      <w:pPr>
        <w:ind w:left="50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E. WENGEL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15875</wp:posOffset>
            </wp:positionV>
            <wp:extent cx="34994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1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Kathryn E. Wengel</w:t>
      </w:r>
    </w:p>
    <w:p>
      <w:pPr>
        <w:sectPr>
          <w:pgSz w:w="11900" w:h="16838" w:orient="portrait"/>
          <w:cols w:equalWidth="0" w:num="1">
            <w:col w:w="11240"/>
          </w:cols>
          <w:pgMar w:left="320" w:top="138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47" w:lineRule="exact"/>
        <w:rPr>
          <w:sz w:val="20"/>
          <w:szCs w:val="20"/>
          <w:color w:val="auto"/>
        </w:rPr>
      </w:pPr>
    </w:p>
    <w:p>
      <w:pPr>
        <w:ind w:left="180" w:hanging="173"/>
        <w:spacing w:after="0"/>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Labcorp Holdings Inc.;</w:t>
      </w:r>
    </w:p>
    <w:p>
      <w:pPr>
        <w:spacing w:after="0" w:line="246"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firstLine="7"/>
        <w:spacing w:after="0" w:line="277" w:lineRule="auto"/>
        <w:tabs>
          <w:tab w:leader="none" w:pos="1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7"/>
        <w:spacing w:after="0" w:line="262" w:lineRule="auto"/>
        <w:tabs>
          <w:tab w:leader="none" w:pos="1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320" w:firstLine="7"/>
        <w:spacing w:after="0" w:line="262" w:lineRule="auto"/>
        <w:tabs>
          <w:tab w:leader="none" w:pos="51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320" w:firstLine="7"/>
        <w:spacing w:after="0" w:line="262" w:lineRule="auto"/>
        <w:tabs>
          <w:tab w:leader="none" w:pos="5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20" w:right="20" w:firstLine="7"/>
        <w:spacing w:after="0" w:line="277" w:lineRule="auto"/>
        <w:tabs>
          <w:tab w:leader="none" w:pos="5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320" w:firstLine="7"/>
        <w:spacing w:after="0" w:line="262" w:lineRule="auto"/>
        <w:tabs>
          <w:tab w:leader="none" w:pos="52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320" w:firstLine="7"/>
        <w:spacing w:after="0" w:line="277" w:lineRule="auto"/>
        <w:tabs>
          <w:tab w:leader="none" w:pos="50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320" w:firstLine="7"/>
        <w:spacing w:after="0" w:line="277" w:lineRule="auto"/>
        <w:tabs>
          <w:tab w:leader="none" w:pos="5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February 25, 2025</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ADAM H. SCHECHTER</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Julia A. Wang, certify that:</w:t>
      </w:r>
    </w:p>
    <w:p>
      <w:pPr>
        <w:spacing w:after="0" w:line="247" w:lineRule="exact"/>
        <w:rPr>
          <w:sz w:val="20"/>
          <w:szCs w:val="20"/>
          <w:color w:val="auto"/>
        </w:rPr>
      </w:pPr>
    </w:p>
    <w:p>
      <w:pPr>
        <w:ind w:left="180" w:hanging="173"/>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Labcorp Holdings Inc.;</w:t>
      </w:r>
    </w:p>
    <w:p>
      <w:pPr>
        <w:spacing w:after="0" w:line="246"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firstLine="7"/>
        <w:spacing w:after="0" w:line="277" w:lineRule="auto"/>
        <w:tabs>
          <w:tab w:leader="none" w:pos="1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7"/>
        <w:spacing w:after="0" w:line="262" w:lineRule="auto"/>
        <w:tabs>
          <w:tab w:leader="none" w:pos="1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320" w:firstLine="7"/>
        <w:spacing w:after="0" w:line="262" w:lineRule="auto"/>
        <w:tabs>
          <w:tab w:leader="none" w:pos="51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320" w:firstLine="7"/>
        <w:spacing w:after="0" w:line="262" w:lineRule="auto"/>
        <w:tabs>
          <w:tab w:leader="none" w:pos="5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20" w:right="20" w:firstLine="7"/>
        <w:spacing w:after="0" w:line="277" w:lineRule="auto"/>
        <w:tabs>
          <w:tab w:leader="none" w:pos="50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320" w:firstLine="7"/>
        <w:spacing w:after="0" w:line="262" w:lineRule="auto"/>
        <w:tabs>
          <w:tab w:leader="none" w:pos="52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320" w:firstLine="7"/>
        <w:spacing w:after="0" w:line="277" w:lineRule="auto"/>
        <w:tabs>
          <w:tab w:leader="none" w:pos="50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320" w:firstLine="7"/>
        <w:spacing w:after="0" w:line="277" w:lineRule="auto"/>
        <w:tabs>
          <w:tab w:leader="none" w:pos="5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February 25, 2025</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JULIA A. WANG</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Julia A. Wang</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28" w:lineRule="exact"/>
        <w:rPr>
          <w:sz w:val="20"/>
          <w:szCs w:val="20"/>
          <w:color w:val="auto"/>
        </w:rPr>
      </w:pPr>
    </w:p>
    <w:p>
      <w:pPr>
        <w:ind w:firstLine="254"/>
        <w:spacing w:after="0" w:line="277"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Labcorp Holdings Inc. (Company), each hereby certifies that, to his knowledge on the date hereof:</w:t>
      </w:r>
    </w:p>
    <w:p>
      <w:pPr>
        <w:spacing w:after="0" w:line="189" w:lineRule="exact"/>
        <w:rPr>
          <w:sz w:val="20"/>
          <w:szCs w:val="20"/>
          <w:color w:val="auto"/>
        </w:rPr>
      </w:pPr>
    </w:p>
    <w:p>
      <w:pPr>
        <w:ind w:firstLine="247"/>
        <w:spacing w:after="0" w:line="277" w:lineRule="auto"/>
        <w:tabs>
          <w:tab w:leader="none" w:pos="55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of the Company for the Period Ended December 31, 2024, filed on the date hereof with the Securities and Exchange Commission (Report) fully complies with the requirements of Section 13(a) or 15(d) of the Securities Exchange Act of 1934; and</w:t>
      </w:r>
    </w:p>
    <w:p>
      <w:pPr>
        <w:spacing w:after="0" w:line="189" w:lineRule="exact"/>
        <w:rPr>
          <w:rFonts w:ascii="Times New Roman" w:cs="Times New Roman" w:eastAsia="Times New Roman" w:hAnsi="Times New Roman"/>
          <w:sz w:val="18"/>
          <w:szCs w:val="18"/>
          <w:color w:val="auto"/>
        </w:rPr>
      </w:pPr>
    </w:p>
    <w:p>
      <w:pPr>
        <w:ind w:left="480" w:hanging="295"/>
        <w:spacing w:after="0"/>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8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74"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JULIA A. WANG</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Julia A. Wang</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lvl w:ilvl="1">
      <w:lvlJc w:val="left"/>
      <w:lvlText w:val="☒"/>
      <w:numFmt w:val="bullet"/>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1."/>
      <w:numFmt w:val="decimal"/>
      <w:start w:val="10"/>
    </w:lvl>
  </w:abstractNum>
  <w:abstractNum w:abstractNumId="3">
    <w:nsid w:val="4516DDE9"/>
    <w:multiLevelType w:val="hybridMultilevel"/>
    <w:lvl w:ilvl="0">
      <w:lvlJc w:val="left"/>
      <w:lvlText w:val="%1."/>
      <w:numFmt w:val="decimal"/>
      <w:start w:val="30"/>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2"/>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2"/>
    </w:lvl>
  </w:abstractNum>
  <w:abstractNum w:abstractNumId="9">
    <w:nsid w:val="5072367"/>
    <w:multiLevelType w:val="hybridMultilevel"/>
    <w:lvl w:ilvl="0">
      <w:lvlJc w:val="left"/>
      <w:lvlText w:val="%1."/>
      <w:numFmt w:val="decimal"/>
      <w:start w:val="3"/>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lowerLetter"/>
      <w:start w:val="1"/>
    </w:lvl>
    <w:lvl w:ilvl="1">
      <w:lvlJc w:val="left"/>
      <w:lvlText w:val="(%2)"/>
      <w:numFmt w:val="decimal"/>
      <w:start w:val="1"/>
    </w:lvl>
  </w:abstractNum>
  <w:abstractNum w:abstractNumId="30">
    <w:nsid w:val="542289EC"/>
    <w:multiLevelType w:val="hybridMultilevel"/>
    <w:lvl w:ilvl="0">
      <w:lvlJc w:val="left"/>
      <w:lvlText w:val="%1"/>
      <w:numFmt w:val="decimal"/>
      <w:start w:val="97"/>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4"/>
    </w:lvl>
  </w:abstractNum>
  <w:abstractNum w:abstractNumId="39">
    <w:nsid w:val="1BA026FA"/>
    <w:multiLevelType w:val="hybridMultilevel"/>
    <w:lvl w:ilvl="0">
      <w:lvlJc w:val="left"/>
      <w:lvlText w:val="1"/>
      <w:numFmt w:val="bullet"/>
      <w:start w:val="1"/>
    </w:lvl>
  </w:abstractNum>
  <w:abstractNum w:abstractNumId="40">
    <w:nsid w:val="79A1DEAA"/>
    <w:multiLevelType w:val="hybridMultilevel"/>
    <w:lvl w:ilvl="0">
      <w:lvlJc w:val="left"/>
      <w:lvlText w:val="%1."/>
      <w:numFmt w:val="decimal"/>
      <w:start w:val="8"/>
    </w:lvl>
  </w:abstractNum>
  <w:abstractNum w:abstractNumId="41">
    <w:nsid w:val="75C6C33A"/>
    <w:multiLevelType w:val="hybridMultilevel"/>
    <w:lvl w:ilvl="0">
      <w:lvlJc w:val="left"/>
      <w:lvlText w:val="1"/>
      <w:numFmt w:val="bullet"/>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decimal"/>
      <w:start w:val="14"/>
    </w:lvl>
  </w:abstractNum>
  <w:abstractNum w:abstractNumId="44">
    <w:nsid w:val="520EEDD1"/>
    <w:multiLevelType w:val="hybridMultilevel"/>
    <w:lvl w:ilvl="0">
      <w:lvlJc w:val="left"/>
      <w:lvlText w:val="%1."/>
      <w:numFmt w:val="decimal"/>
      <w:start w:val="16"/>
    </w:lvl>
  </w:abstractNum>
  <w:abstractNum w:abstractNumId="45">
    <w:nsid w:val="374A3FE6"/>
    <w:multiLevelType w:val="hybridMultilevel"/>
    <w:lvl w:ilvl="0">
      <w:lvlJc w:val="left"/>
      <w:lvlText w:val="%1."/>
      <w:numFmt w:val="decimal"/>
      <w:start w:val="18"/>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2"/>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2"/>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1"/>
    </w:lvl>
    <w:lvl w:ilvl="1">
      <w:lvlJc w:val="left"/>
      <w:lvlText w:val="%2."/>
      <w:numFmt w:val="lowerLetter"/>
      <w:start w:val="1"/>
    </w:lvl>
  </w:abstractNum>
  <w:abstractNum w:abstractNumId="57">
    <w:nsid w:val="741226BB"/>
    <w:multiLevelType w:val="hybridMultilevel"/>
    <w:lvl w:ilvl="0">
      <w:lvlJc w:val="left"/>
      <w:lvlText w:val="%1."/>
      <w:numFmt w:val="decimal"/>
      <w:start w:val="1"/>
    </w:lvl>
    <w:lvl w:ilvl="1">
      <w:lvlJc w:val="left"/>
      <w:lvlText w:val="%2."/>
      <w:numFmt w:val="lowerLetter"/>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lowerLetter"/>
      <w:start w:val="1"/>
    </w:lvl>
    <w:lvl w:ilvl="1">
      <w:lvlJc w:val="left"/>
      <w:lvlText w:val="(%2)"/>
      <w:numFmt w:val="lowerLetter"/>
      <w:start w:val="1"/>
    </w:lvl>
  </w:abstractNum>
  <w:abstractNum w:abstractNumId="61">
    <w:nsid w:val="61574095"/>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1"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85" Type="http://schemas.openxmlformats.org/officeDocument/2006/relationships/hyperlink" Target="https://www.sec.gov/Archives/edgar/data/920148/000092014823000050/fortreaclosingex21-separat.htm" TargetMode="External"/><Relationship Id="rId86" Type="http://schemas.openxmlformats.org/officeDocument/2006/relationships/hyperlink" Target="https://www.sec.gov/Archives/edgar/data/920148/000092014824000063/exhibit21-mergeragreementc.htm" TargetMode="External"/><Relationship Id="rId87" Type="http://schemas.openxmlformats.org/officeDocument/2006/relationships/hyperlink" Target="https://www.sec.gov/Archives/edgar/data/920148/000092014824000063/exhibit31-amendedandrestat.htm" TargetMode="External"/><Relationship Id="rId88" Type="http://schemas.openxmlformats.org/officeDocument/2006/relationships/hyperlink" Target="https://www.sec.gov/Archives/edgar/data/920148/000092014824000063/exhibit32-amendedandrestat.htm" TargetMode="External"/><Relationship Id="rId89" Type="http://schemas.openxmlformats.org/officeDocument/2006/relationships/hyperlink" Target="https://www.sec.gov/Archives/edgar/data/920148/000092014810000110/ex_4-1.htm" TargetMode="External"/><Relationship Id="rId90" Type="http://schemas.openxmlformats.org/officeDocument/2006/relationships/hyperlink" Target="https://www.sec.gov/Archives/edgar/data/920148/000119312515026832/d860928dex44.htm" TargetMode="External"/><Relationship Id="rId91" Type="http://schemas.openxmlformats.org/officeDocument/2006/relationships/hyperlink" Target="https://www.sec.gov/Archives/edgar/data/920148/000119312515026832/d860928dex45.htm" TargetMode="External"/><Relationship Id="rId92" Type="http://schemas.openxmlformats.org/officeDocument/2006/relationships/hyperlink" Target="https://www.sec.gov/Archives/edgar/data/920148/000119312517264395/d427802dex43.htm" TargetMode="External"/><Relationship Id="rId93" Type="http://schemas.openxmlformats.org/officeDocument/2006/relationships/hyperlink" Target="https://www.sec.gov/Archives/edgar/data/920148/000119312519300013/d839349dex43.htm" TargetMode="External"/><Relationship Id="rId94" Type="http://schemas.openxmlformats.org/officeDocument/2006/relationships/hyperlink" Target="https://www.sec.gov/Archives/edgar/data/0000920148/000119312521173705/d149828dex42.htm" TargetMode="External"/><Relationship Id="rId95" Type="http://schemas.openxmlformats.org/officeDocument/2006/relationships/hyperlink" Target="https://www.sec.gov/Archives/edgar/data/920148/000119312519300013/d839349dex42.htm" TargetMode="External"/><Relationship Id="rId96" Type="http://schemas.openxmlformats.org/officeDocument/2006/relationships/hyperlink" Target="https://www.sec.gov/Archives/edgar/data/0000920148/000119312521173705/d149828dex43.htm" TargetMode="External"/><Relationship Id="rId97" Type="http://schemas.openxmlformats.org/officeDocument/2006/relationships/hyperlink" Target="https://www.sec.gov/Archives/edgar/data/920148/000092014824000063/exhibit42-seventeenthsuppl.htm" TargetMode="External"/><Relationship Id="rId98" Type="http://schemas.openxmlformats.org/officeDocument/2006/relationships/hyperlink" Target="https://www.sec.gov/Archives/edgar/data/920148/000092014824000063/exhibit41descriptionofsecu.htm" TargetMode="External"/><Relationship Id="rId99" Type="http://schemas.openxmlformats.org/officeDocument/2006/relationships/hyperlink" Target="https://www.sec.gov/Archives/edgar/data/920148/000092014824000063/exhibit43-guarantee.htm" TargetMode="External"/><Relationship Id="rId100" Type="http://schemas.openxmlformats.org/officeDocument/2006/relationships/hyperlink" Target="https://www.sec.gov/Archives/edgar/data/920148/000119312524223695/d844966dex42.htm" TargetMode="External"/><Relationship Id="rId102" Type="http://schemas.openxmlformats.org/officeDocument/2006/relationships/hyperlink" Target="https://www.sec.gov/Archives/edgar/data/920148/000119312524223695/d844966dex43.htm" TargetMode="External"/><Relationship Id="rId103" Type="http://schemas.openxmlformats.org/officeDocument/2006/relationships/hyperlink" Target="https://www.sec.gov/Archives/edgar/data/920148/000119312524223695/d844966dex44.htm" TargetMode="External"/><Relationship Id="rId104" Type="http://schemas.openxmlformats.org/officeDocument/2006/relationships/hyperlink" Target="https://www.sec.gov/Archives/edgar/data/920148/000092014824000063/exhibit104-amendedandresta.htm" TargetMode="External"/><Relationship Id="rId105" Type="http://schemas.openxmlformats.org/officeDocument/2006/relationships/hyperlink" Target="https://www.sec.gov/Archives/edgar/data/920148/000092014824000063/exhibit105labcorpholdingsi.htm" TargetMode="External"/><Relationship Id="rId106" Type="http://schemas.openxmlformats.org/officeDocument/2006/relationships/hyperlink" Target="https://www.sec.gov/Archives/edgar/data/920148/000092014824000063/exhibit102-radianceceoassi.htm" TargetMode="External"/><Relationship Id="rId107" Type="http://schemas.openxmlformats.org/officeDocument/2006/relationships/hyperlink" Target="https://www.sec.gov/Archives/edgar/data/920148/000092014824000063/exhibit103-assignmentandas.htm" TargetMode="External"/><Relationship Id="rId108" Type="http://schemas.openxmlformats.org/officeDocument/2006/relationships/hyperlink" Target="https://www.sec.gov/Archives/edgar/data/920148/000092014804000191/ex10-1_pepplan.htm" TargetMode="External"/><Relationship Id="rId109" Type="http://schemas.openxmlformats.org/officeDocument/2006/relationships/hyperlink" Target="https://www.sec.gov/Archives/edgar/data/920148/000092014804000191/ex10-2_pepamend.htm" TargetMode="External"/><Relationship Id="rId110" Type="http://schemas.openxmlformats.org/officeDocument/2006/relationships/hyperlink" Target="https://www.sec.gov/Archives/edgar/data/920148/000092014805000049/pepamend2_10-4.htm" TargetMode="External"/><Relationship Id="rId111" Type="http://schemas.openxmlformats.org/officeDocument/2006/relationships/hyperlink" Target="https://www.sec.gov/Archives/edgar/data/920148/000092014805000161/exhibit10-6.htm" TargetMode="External"/><Relationship Id="rId112" Type="http://schemas.openxmlformats.org/officeDocument/2006/relationships/hyperlink" Target="https://www.sec.gov/Archives/edgar/data/920148/000092014805000049/defcomp_ex10-22.htm" TargetMode="External"/><Relationship Id="rId113" Type="http://schemas.openxmlformats.org/officeDocument/2006/relationships/hyperlink" Target="https://www.sec.gov/Archives/edgar/data/920148/000092014805000049/defcompamend_ex10-23.htm" TargetMode="External"/><Relationship Id="rId114" Type="http://schemas.openxmlformats.org/officeDocument/2006/relationships/hyperlink" Target="https://www.sec.gov/Archives/edgar/data/920148/000092014805000161/ex10-8_defcomp.htm" TargetMode="External"/><Relationship Id="rId115" Type="http://schemas.openxmlformats.org/officeDocument/2006/relationships/hyperlink" Target="https://www.sec.gov/Archives/edgar/data/920148/000116923207001103/ex10-28_defcomp.htm" TargetMode="External"/><Relationship Id="rId116" Type="http://schemas.openxmlformats.org/officeDocument/2006/relationships/hyperlink" Target="https://www.sec.gov/Archives/edgar/data/920148/000092014808000071/ex10-34_defcomp.htm" TargetMode="External"/><Relationship Id="rId117" Type="http://schemas.openxmlformats.org/officeDocument/2006/relationships/hyperlink" Target="https://www.sec.gov/Archives/edgar/data/920148/000092014824000032/exhibit101amendedandrestat.htm" TargetMode="External"/><Relationship Id="rId118" Type="http://schemas.openxmlformats.org/officeDocument/2006/relationships/hyperlink" Target="https://www.sec.gov/Archives/edgar/data/920148/000092014821000041/labcorp-thirdarcreditagree.htm" TargetMode="External"/><Relationship Id="rId121" Type="http://schemas.openxmlformats.org/officeDocument/2006/relationships/hyperlink" Target="https://www.sec.gov/Archives/edgar/data/920148/000092014823000017/exhibit1012thirdarcreditag.htm" TargetMode="External"/><Relationship Id="rId122" Type="http://schemas.openxmlformats.org/officeDocument/2006/relationships/hyperlink" Target="https://www.sec.gov/Archives/edgar/data/920148/000092014824000063/exhibit101-guarantorjoinde.htm" TargetMode="External"/><Relationship Id="rId123" Type="http://schemas.openxmlformats.org/officeDocument/2006/relationships/hyperlink" Target="https://www.sec.gov/Archives/edgar/data/920148/000119312519164256/d755218dex101.htm" TargetMode="External"/><Relationship Id="rId124" Type="http://schemas.openxmlformats.org/officeDocument/2006/relationships/hyperlink" Target="https://www.sec.gov/Archives/edgar/data/920148/000092014820000029/exhibit101amendment.htm" TargetMode="External"/><Relationship Id="rId125" Type="http://schemas.openxmlformats.org/officeDocument/2006/relationships/hyperlink" Target="https://www.sec.gov/Archives/edgar/data/920148/000092014824000103/exhibit101receivablespurch.htm" TargetMode="External"/><Relationship Id="rId126" Type="http://schemas.openxmlformats.org/officeDocument/2006/relationships/hyperlink" Target="https://www.sec.gov/Archives/edgar/data/920148/000092014825000017/exhibit101firstamendmentto.htm" TargetMode="External"/><Relationship Id="rId127" Type="http://schemas.openxmlformats.org/officeDocument/2006/relationships/hyperlink" Target="https://www.sec.gov/Archives/edgar/data/920148/000092014824000103/exhibit102saleagreement.htm" TargetMode="External"/><Relationship Id="rId128" Type="http://schemas.openxmlformats.org/officeDocument/2006/relationships/hyperlink" Target="https://www.sec.gov/Archives/edgar/data/920148/000092014824000103/exhibit103performanceguara.htm" TargetMode="External"/><Relationship Id="rId129" Type="http://schemas.openxmlformats.org/officeDocument/2006/relationships/hyperlink" Target="https://www.sec.gov/Archives/edgar/data/920148/000119312520287013/d141788dex161.htm" TargetMode="External"/><Relationship Id="rId130" Type="http://schemas.openxmlformats.org/officeDocument/2006/relationships/hyperlink" Target="https://www.sec.gov/Archives/edgar/data/920148/000092014821000021/form8-ka3321ex161pwcletter.htm" TargetMode="External"/><Relationship Id="rId133" Type="http://schemas.openxmlformats.org/officeDocument/2006/relationships/hyperlink" Target="https://www.sec.gov/Archives/edgar/data/920148/000092014824000014/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2025-02-25T12:04:53Z</dcterms:created>
  <dcterms:modified xsi:type="dcterms:W3CDTF">2025-02-25T12:04:53Z</dcterms:modified>
</cp:coreProperties>
</file>