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September 30,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earliest event reported)</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 xml:space="preserve">LABCORP HOLDINGS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9651" w:type="dxa"/>
        <w:jc w:val="left"/>
        <w:tblInd w:w="0" w:type="dxa"/>
        <w:tblLayout w:type="fixed"/>
        <w:tblCellMar>
          <w:top w:w="28" w:type="dxa"/>
          <w:left w:w="28" w:type="dxa"/>
          <w:bottom w:w="28" w:type="dxa"/>
          <w:right w:w="28" w:type="dxa"/>
        </w:tblCellMar>
      </w:tblPr>
      <w:tblGrid>
        <w:gridCol w:w="1328"/>
        <w:gridCol w:w="1167"/>
        <w:gridCol w:w="1179"/>
        <w:gridCol w:w="109"/>
        <w:gridCol w:w="109"/>
        <w:gridCol w:w="109"/>
        <w:gridCol w:w="762"/>
        <w:gridCol w:w="762"/>
        <w:gridCol w:w="770"/>
        <w:gridCol w:w="109"/>
        <w:gridCol w:w="109"/>
        <w:gridCol w:w="109"/>
        <w:gridCol w:w="884"/>
        <w:gridCol w:w="884"/>
        <w:gridCol w:w="1261"/>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1-11353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99-2588107</w:t>
            </w:r>
          </w:p>
        </w:tc>
      </w:tr>
      <w:tr>
        <w:trPr/>
        <w:tc>
          <w:tcPr>
            <w:tcW w:w="367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before="0" w:after="0"/>
        <w:jc w:val="left"/>
        <w:rPr/>
      </w:pPr>
      <w:r>
        <w:rPr/>
      </w:r>
    </w:p>
    <w:tbl>
      <w:tblPr>
        <w:tblW w:w="4661" w:type="dxa"/>
        <w:jc w:val="left"/>
        <w:tblInd w:w="0" w:type="dxa"/>
        <w:tblLayout w:type="fixed"/>
        <w:tblCellMar>
          <w:top w:w="28" w:type="dxa"/>
          <w:left w:w="28" w:type="dxa"/>
          <w:bottom w:w="28" w:type="dxa"/>
          <w:right w:w="28" w:type="dxa"/>
        </w:tblCellMar>
      </w:tblPr>
      <w:tblGrid>
        <w:gridCol w:w="403"/>
        <w:gridCol w:w="354"/>
        <w:gridCol w:w="356"/>
        <w:gridCol w:w="231"/>
        <w:gridCol w:w="231"/>
        <w:gridCol w:w="231"/>
        <w:gridCol w:w="497"/>
        <w:gridCol w:w="497"/>
        <w:gridCol w:w="499"/>
        <w:gridCol w:w="109"/>
        <w:gridCol w:w="109"/>
        <w:gridCol w:w="109"/>
        <w:gridCol w:w="303"/>
        <w:gridCol w:w="303"/>
        <w:gridCol w:w="429"/>
      </w:tblGrid>
      <w:tr>
        <w:trPr/>
        <w:tc>
          <w:tcPr>
            <w:tcW w:w="40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2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358 South Main Street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Burlington</w:t>
            </w:r>
          </w:p>
        </w:tc>
        <w:tc>
          <w:tcPr>
            <w:tcW w:w="693"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1493"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North Carolina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27215</w:t>
            </w:r>
          </w:p>
        </w:tc>
      </w:tr>
      <w:tr>
        <w:trPr/>
        <w:tc>
          <w:tcPr>
            <w:tcW w:w="3299"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140" w:after="12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 xml:space="preserve">336-229-1127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80" w:after="6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Exchange Act.</w:t>
      </w:r>
    </w:p>
    <w:tbl>
      <w:tblPr>
        <w:tblW w:w="8273" w:type="dxa"/>
        <w:jc w:val="left"/>
        <w:tblInd w:w="0" w:type="dxa"/>
        <w:tblLayout w:type="fixed"/>
        <w:tblCellMar>
          <w:top w:w="28" w:type="dxa"/>
          <w:left w:w="28" w:type="dxa"/>
          <w:bottom w:w="28" w:type="dxa"/>
          <w:right w:w="28" w:type="dxa"/>
        </w:tblCellMar>
      </w:tblPr>
      <w:tblGrid>
        <w:gridCol w:w="986"/>
        <w:gridCol w:w="867"/>
        <w:gridCol w:w="877"/>
        <w:gridCol w:w="109"/>
        <w:gridCol w:w="109"/>
        <w:gridCol w:w="109"/>
        <w:gridCol w:w="499"/>
        <w:gridCol w:w="499"/>
        <w:gridCol w:w="501"/>
        <w:gridCol w:w="109"/>
        <w:gridCol w:w="109"/>
        <w:gridCol w:w="109"/>
        <w:gridCol w:w="991"/>
        <w:gridCol w:w="991"/>
        <w:gridCol w:w="1408"/>
      </w:tblGrid>
      <w:tr>
        <w:trPr/>
        <w:tc>
          <w:tcPr>
            <w:tcW w:w="986"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exchange on which registered</w:t>
            </w:r>
          </w:p>
        </w:tc>
      </w:tr>
      <w:tr>
        <w:trPr/>
        <w:tc>
          <w:tcPr>
            <w:tcW w:w="273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$0.10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60" w:after="6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60" w:after="6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3313" w:type="dxa"/>
        <w:jc w:val="left"/>
        <w:tblInd w:w="0" w:type="dxa"/>
        <w:tblLayout w:type="fixed"/>
        <w:tblCellMar>
          <w:top w:w="28" w:type="dxa"/>
          <w:left w:w="28" w:type="dxa"/>
          <w:bottom w:w="28" w:type="dxa"/>
          <w:right w:w="28" w:type="dxa"/>
        </w:tblCellMar>
      </w:tblPr>
      <w:tblGrid>
        <w:gridCol w:w="347"/>
        <w:gridCol w:w="304"/>
        <w:gridCol w:w="308"/>
        <w:gridCol w:w="688"/>
        <w:gridCol w:w="688"/>
        <w:gridCol w:w="978"/>
      </w:tblGrid>
      <w:tr>
        <w:trPr/>
        <w:tc>
          <w:tcPr>
            <w:tcW w:w="34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7.01.</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Regulation FD Disclosure.</w:t>
            </w:r>
          </w:p>
        </w:tc>
      </w:tr>
    </w:tbl>
    <w:p>
      <w:pPr>
        <w:pStyle w:val="TextBody"/>
        <w:bidi w:val="0"/>
        <w:spacing w:lineRule="auto" w:line="268" w:before="0" w:after="100"/>
        <w:jc w:val="both"/>
        <w:rPr>
          <w:rFonts w:ascii="Times New Roman;serif" w:hAnsi="Times New Roman;serif"/>
          <w:b w:val="false"/>
          <w:color w:val="000000"/>
          <w:sz w:val="20"/>
        </w:rPr>
      </w:pPr>
      <w:r>
        <w:rPr>
          <w:rFonts w:ascii="Times New Roman;serif" w:hAnsi="Times New Roman;serif"/>
          <w:b w:val="false"/>
          <w:color w:val="000000"/>
          <w:sz w:val="20"/>
        </w:rPr>
        <w:t>Labcorp Holdings Inc. (NYSE: LH), a global leader of innovative and comprehensive laboratory services, announced on September 30, 2026 that it will release its financial results for the third quarter of 2026 before the market opens on Wednesday, October 28, 2026, and will host a webcast beginning at 9:00 a.m. ET that day to discuss the results. The earnings press release and accompanying financial information will be posted on the Labcorp Investor Relations website.</w:t>
      </w:r>
    </w:p>
    <w:p>
      <w:pPr>
        <w:pStyle w:val="TextBody"/>
        <w:bidi w:val="0"/>
        <w:spacing w:lineRule="auto" w:line="268" w:before="0" w:after="100"/>
        <w:jc w:val="both"/>
        <w:rPr>
          <w:rFonts w:ascii="Times New Roman;serif" w:hAnsi="Times New Roman;serif"/>
          <w:b w:val="false"/>
          <w:color w:val="000000"/>
          <w:sz w:val="20"/>
        </w:rPr>
      </w:pPr>
      <w:r>
        <w:rPr>
          <w:rFonts w:ascii="Times New Roman;serif" w:hAnsi="Times New Roman;serif"/>
          <w:b w:val="false"/>
          <w:color w:val="000000"/>
          <w:sz w:val="20"/>
        </w:rPr>
        <w:t>A copy of the press release dated September 30, 2026 is furnished as Exhibit 99.1 hereto and incorporated by reference herein.</w:t>
      </w:r>
    </w:p>
    <w:tbl>
      <w:tblPr>
        <w:tblW w:w="7738" w:type="dxa"/>
        <w:jc w:val="center"/>
        <w:tblInd w:w="0" w:type="dxa"/>
        <w:tblLayout w:type="fixed"/>
        <w:tblCellMar>
          <w:top w:w="28" w:type="dxa"/>
          <w:left w:w="28" w:type="dxa"/>
          <w:bottom w:w="28" w:type="dxa"/>
          <w:right w:w="28" w:type="dxa"/>
        </w:tblCellMar>
      </w:tblPr>
      <w:tblGrid>
        <w:gridCol w:w="412"/>
        <w:gridCol w:w="361"/>
        <w:gridCol w:w="366"/>
        <w:gridCol w:w="1028"/>
        <w:gridCol w:w="1028"/>
        <w:gridCol w:w="1028"/>
        <w:gridCol w:w="1028"/>
        <w:gridCol w:w="1028"/>
        <w:gridCol w:w="1459"/>
      </w:tblGrid>
      <w:tr>
        <w:trPr/>
        <w:tc>
          <w:tcPr>
            <w:tcW w:w="412"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659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w:t>
            </w:r>
          </w:p>
        </w:tc>
        <w:tc>
          <w:tcPr>
            <w:tcW w:w="659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Name</w:t>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99.1</w:t>
            </w:r>
          </w:p>
        </w:tc>
        <w:tc>
          <w:tcPr>
            <w:tcW w:w="659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formpr3q26ex991earningsann.htm">
              <w:r>
                <w:rPr>
                  <w:rStyle w:val="InternetLink"/>
                  <w:rFonts w:ascii="Times New Roman;serif" w:hAnsi="Times New Roman;serif"/>
                  <w:b w:val="false"/>
                  <w:color w:val="000080"/>
                  <w:sz w:val="20"/>
                  <w:u w:val="single"/>
                </w:rPr>
                <w:t xml:space="preserve">Press release dated </w:t>
              </w:r>
            </w:hyperlink>
            <w:hyperlink w:anchor="formpr3q26ex991earningsann.htm">
              <w:r>
                <w:rPr>
                  <w:rStyle w:val="InternetLink"/>
                  <w:rFonts w:ascii="Times New Roman;serif" w:hAnsi="Times New Roman;serif"/>
                  <w:b w:val="false"/>
                  <w:color w:val="000080"/>
                  <w:sz w:val="20"/>
                  <w:u w:val="single"/>
                </w:rPr>
                <w:t>September</w:t>
              </w:r>
            </w:hyperlink>
            <w:hyperlink w:anchor="formpr3q26ex991earningsann.htm">
              <w:r>
                <w:rPr>
                  <w:rStyle w:val="InternetLink"/>
                  <w:rFonts w:ascii="Times New Roman;serif" w:hAnsi="Times New Roman;serif"/>
                  <w:b w:val="false"/>
                  <w:color w:val="000080"/>
                  <w:sz w:val="20"/>
                  <w:u w:val="single"/>
                </w:rPr>
                <w:t xml:space="preserve"> 30, 2026 issued by Labcorp Holdings Inc.</w:t>
              </w:r>
            </w:hyperlink>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104</w:t>
            </w:r>
          </w:p>
        </w:tc>
        <w:tc>
          <w:tcPr>
            <w:tcW w:w="659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LABCORP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w:t>
      </w:r>
    </w:p>
    <w:p>
      <w:pPr>
        <w:pStyle w:val="TextBody"/>
        <w:bidi w:val="0"/>
        <w:spacing w:before="0" w:after="0"/>
        <w:jc w:val="left"/>
        <w:rPr/>
      </w:pPr>
      <w:r>
        <w:rPr/>
      </w:r>
    </w:p>
    <w:tbl>
      <w:tblPr>
        <w:tblW w:w="8504" w:type="dxa"/>
        <w:jc w:val="left"/>
        <w:tblInd w:w="0" w:type="dxa"/>
        <w:tblLayout w:type="fixed"/>
        <w:tblCellMar>
          <w:top w:w="28" w:type="dxa"/>
          <w:left w:w="28" w:type="dxa"/>
          <w:bottom w:w="28" w:type="dxa"/>
          <w:right w:w="28" w:type="dxa"/>
        </w:tblCellMar>
      </w:tblPr>
      <w:tblGrid>
        <w:gridCol w:w="802"/>
        <w:gridCol w:w="707"/>
        <w:gridCol w:w="711"/>
        <w:gridCol w:w="134"/>
        <w:gridCol w:w="134"/>
        <w:gridCol w:w="136"/>
        <w:gridCol w:w="1717"/>
        <w:gridCol w:w="1717"/>
        <w:gridCol w:w="2446"/>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30,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KATHRYN W. KYLE</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Kathryn W. Kyle</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Executive Vice President, Chief Legal Officer and Corporate Secretary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18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360"/>
        <w:jc w:val="left"/>
        <w:rPr/>
      </w:pPr>
      <w:r>
        <w:rPr/>
        <w:drawing>
          <wp:inline distT="0" distB="0" distL="0" distR="0">
            <wp:extent cx="2466975" cy="6477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466975" cy="64770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 IMMEDIATE RELEASE</w:t>
      </w:r>
    </w:p>
    <w:p>
      <w:pPr>
        <w:pStyle w:val="TextBody"/>
        <w:bidi w:val="0"/>
        <w:spacing w:before="0" w:after="0"/>
        <w:jc w:val="left"/>
        <w:rPr/>
      </w:pPr>
      <w:r>
        <w:rPr/>
      </w:r>
    </w:p>
    <w:tbl>
      <w:tblPr>
        <w:tblW w:w="4454" w:type="dxa"/>
        <w:jc w:val="left"/>
        <w:tblInd w:w="0" w:type="dxa"/>
        <w:tblLayout w:type="fixed"/>
        <w:tblCellMar>
          <w:top w:w="28" w:type="dxa"/>
          <w:left w:w="28" w:type="dxa"/>
          <w:bottom w:w="28" w:type="dxa"/>
          <w:right w:w="28" w:type="dxa"/>
        </w:tblCellMar>
      </w:tblPr>
      <w:tblGrid>
        <w:gridCol w:w="748"/>
        <w:gridCol w:w="659"/>
        <w:gridCol w:w="664"/>
        <w:gridCol w:w="109"/>
        <w:gridCol w:w="109"/>
        <w:gridCol w:w="109"/>
        <w:gridCol w:w="602"/>
        <w:gridCol w:w="602"/>
        <w:gridCol w:w="852"/>
      </w:tblGrid>
      <w:tr>
        <w:trPr/>
        <w:tc>
          <w:tcPr>
            <w:tcW w:w="74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r>
      <w:tr>
        <w:trPr/>
        <w:tc>
          <w:tcPr>
            <w:tcW w:w="207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Media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Investor Relations</w:t>
            </w:r>
          </w:p>
        </w:tc>
      </w:tr>
      <w:tr>
        <w:trPr/>
        <w:tc>
          <w:tcPr>
            <w:tcW w:w="207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Racquel White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Dewey Steadman</w:t>
            </w:r>
          </w:p>
        </w:tc>
      </w:tr>
      <w:tr>
        <w:trPr/>
        <w:tc>
          <w:tcPr>
            <w:tcW w:w="207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E32E1"/>
                <w:sz w:val="20"/>
              </w:rPr>
            </w:pPr>
            <w:r>
              <w:rPr>
                <w:rFonts w:ascii="Times New Roman;serif" w:hAnsi="Times New Roman;serif"/>
                <w:b w:val="false"/>
                <w:color w:val="0E32E1"/>
                <w:sz w:val="20"/>
              </w:rPr>
              <w:t>Media@Labcorp.com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E32E1"/>
                <w:sz w:val="20"/>
              </w:rPr>
            </w:pPr>
            <w:r>
              <w:rPr>
                <w:rFonts w:ascii="Times New Roman;serif" w:hAnsi="Times New Roman;serif"/>
                <w:b w:val="false"/>
                <w:color w:val="0E32E1"/>
                <w:sz w:val="20"/>
              </w:rPr>
              <w:t>Investor@Labcorp.com</w:t>
            </w:r>
          </w:p>
        </w:tc>
      </w:tr>
    </w:tbl>
    <w:p>
      <w:pPr>
        <w:pStyle w:val="TextBody"/>
        <w:bidi w:val="0"/>
        <w:spacing w:before="0" w:after="0"/>
        <w:jc w:val="left"/>
        <w:rPr/>
      </w:pPr>
      <w:r>
        <w:rPr/>
      </w:r>
    </w:p>
    <w:p>
      <w:pPr>
        <w:pStyle w:val="TextBody"/>
        <w:bidi w:val="0"/>
        <w:spacing w:lineRule="auto" w:line="268" w:before="0" w:after="0"/>
        <w:jc w:val="center"/>
        <w:rPr/>
      </w:pPr>
      <w:r>
        <w:rPr>
          <w:rFonts w:ascii="Times New Roman;serif" w:hAnsi="Times New Roman;serif"/>
          <w:b/>
          <w:color w:val="000000"/>
          <w:sz w:val="24"/>
        </w:rPr>
        <w:t>Labcorp</w:t>
      </w:r>
      <w:r>
        <w:rPr>
          <w:color w:val="000000"/>
        </w:rPr>
        <w:t xml:space="preserve"> </w:t>
      </w:r>
      <w:r>
        <w:rPr>
          <w:rFonts w:ascii="Times New Roman;serif" w:hAnsi="Times New Roman;serif"/>
          <w:b/>
          <w:color w:val="000000"/>
          <w:sz w:val="24"/>
        </w:rPr>
        <w:t>to Announce Third Quarter Financial Results on October 28, 2026</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color w:val="000000"/>
          <w:sz w:val="20"/>
        </w:rPr>
        <w:t xml:space="preserve">BURLINGTON, N.C., (Sept. 30, 2026) – </w:t>
      </w:r>
      <w:r>
        <w:rPr>
          <w:rFonts w:ascii="Times New Roman;serif" w:hAnsi="Times New Roman;serif"/>
          <w:b w:val="false"/>
          <w:color w:val="000000"/>
          <w:sz w:val="20"/>
        </w:rPr>
        <w:t>Labcorp Holdings Inc. (NYSE: LH), a global leader of innovative and comprehensive laboratory services, will release its financial results for the third quarter of 2026 before the market opens on Wednesday, October 28, 2026. The company will host a webcast beginning at 9:00 a.m. ET that day to discuss the results. The earnings press release and accompanying financial information will be posted on the “News &amp; Events” section of the Labcorp Investor Relations website at https://ir.labcorp.com. A link to the earnings webcast will also be available on the investor relations website.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 replay of the webcast will be available on the “News &amp; Events” section of the investor relations website approximately two hours after the conclusion of the live event and will be available for one year.</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About Labcorp</w:t>
      </w:r>
    </w:p>
    <w:p>
      <w:pPr>
        <w:pStyle w:val="TextBody"/>
        <w:bidi w:val="0"/>
        <w:spacing w:lineRule="auto" w:line="268"/>
        <w:jc w:val="both"/>
        <w:rPr>
          <w:rFonts w:ascii="Times New Roman;serif" w:hAnsi="Times New Roman;serif"/>
          <w:b w:val="false"/>
          <w:color w:val="000000"/>
          <w:sz w:val="20"/>
        </w:rPr>
      </w:pPr>
      <w:r>
        <w:rPr>
          <w:rFonts w:ascii="Times New Roman;serif" w:hAnsi="Times New Roman;serif"/>
          <w:b w:val="false"/>
          <w:color w:val="000000"/>
          <w:sz w:val="20"/>
        </w:rPr>
        <w:t>Labcorp (NYSE: LH) is a global leader of innovative and comprehensive laboratory services that helps doctors, hospitals, pharmaceutical companies, researchers, and patients make clear and confident decisions. We provide insights and advance science to improve health and improve lives through our unparalleled diagnostics and drug development laboratory capabilities. The company's nearly 71,000 employees serve clients in approximately 100 countries, provided support for more than 85% of the new drugs and therapeutic products approved by the FDA in 2025, and performed more than 750 million tests for patients around the world. Learn more at https://www.labcorp.com/.</w:t>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728</Words>
  <Characters>4090</Characters>
  <CharactersWithSpaces>4770</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